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79" w:rsidRDefault="003D7679" w:rsidP="003D7679">
      <w:pPr>
        <w:pStyle w:val="Nadpis1"/>
        <w:rPr>
          <w:rFonts w:eastAsia="Times New Roman"/>
          <w:kern w:val="28"/>
        </w:rPr>
      </w:pPr>
      <w:bookmarkStart w:id="0" w:name="_Toc762012"/>
    </w:p>
    <w:p w:rsidR="003D7679" w:rsidRDefault="003D7679" w:rsidP="003D7679">
      <w:pPr>
        <w:pStyle w:val="Nadpis1"/>
        <w:rPr>
          <w:rFonts w:eastAsia="Times New Roman"/>
          <w:kern w:val="28"/>
        </w:rPr>
      </w:pPr>
    </w:p>
    <w:p w:rsidR="00281FA1" w:rsidRDefault="00281FA1" w:rsidP="003D7679">
      <w:pPr>
        <w:pStyle w:val="Nadpis1"/>
        <w:rPr>
          <w:rFonts w:eastAsia="Times New Roman"/>
          <w:kern w:val="28"/>
        </w:rPr>
      </w:pPr>
      <w:bookmarkStart w:id="1" w:name="_Toc47367917"/>
      <w:r>
        <w:rPr>
          <w:rFonts w:eastAsia="Times New Roman"/>
          <w:kern w:val="28"/>
        </w:rPr>
        <w:t>Technická zpráva</w:t>
      </w:r>
      <w:bookmarkEnd w:id="1"/>
      <w:r>
        <w:rPr>
          <w:rFonts w:eastAsia="Times New Roman"/>
          <w:kern w:val="28"/>
        </w:rPr>
        <w:t xml:space="preserve"> </w:t>
      </w:r>
    </w:p>
    <w:p w:rsidR="003D7679" w:rsidRPr="00402CFB" w:rsidRDefault="00281FA1" w:rsidP="003D7679">
      <w:pPr>
        <w:pStyle w:val="Nadpis1"/>
        <w:rPr>
          <w:rFonts w:eastAsia="Times New Roman"/>
          <w:kern w:val="28"/>
          <w:szCs w:val="44"/>
        </w:rPr>
      </w:pPr>
      <w:bookmarkStart w:id="2" w:name="_Toc47367918"/>
      <w:r>
        <w:rPr>
          <w:rFonts w:eastAsia="Times New Roman"/>
          <w:kern w:val="28"/>
        </w:rPr>
        <w:t>z</w:t>
      </w:r>
      <w:r w:rsidR="003D7679" w:rsidRPr="00402CFB">
        <w:rPr>
          <w:rFonts w:eastAsia="Times New Roman"/>
          <w:kern w:val="28"/>
        </w:rPr>
        <w:t>adávací dokumentace zakázky</w:t>
      </w:r>
      <w:bookmarkEnd w:id="0"/>
      <w:bookmarkEnd w:id="2"/>
    </w:p>
    <w:p w:rsidR="003D7679" w:rsidRPr="00402CFB" w:rsidRDefault="00C37E8B" w:rsidP="003D7679">
      <w:pPr>
        <w:pStyle w:val="Nadpis2"/>
        <w:rPr>
          <w:rFonts w:ascii="Times New Roman" w:eastAsia="Times New Roman" w:hAnsi="Times New Roman" w:cs="Times New Roman"/>
          <w:szCs w:val="20"/>
        </w:rPr>
      </w:pPr>
      <w:bookmarkStart w:id="3" w:name="_Toc47367919"/>
      <w:r w:rsidRPr="000D3013">
        <w:rPr>
          <w:rFonts w:eastAsia="Times New Roman"/>
          <w:kern w:val="28"/>
        </w:rPr>
        <w:t xml:space="preserve">Oprava </w:t>
      </w:r>
      <w:r w:rsidR="00BE4F26">
        <w:rPr>
          <w:rFonts w:eastAsia="Times New Roman"/>
          <w:kern w:val="28"/>
        </w:rPr>
        <w:t>osvětlení</w:t>
      </w:r>
      <w:r w:rsidR="0066168A" w:rsidRPr="0066168A">
        <w:rPr>
          <w:rFonts w:eastAsia="Times New Roman"/>
          <w:kern w:val="28"/>
        </w:rPr>
        <w:t xml:space="preserve"> žst. Ostrava hl.n.</w:t>
      </w:r>
      <w:bookmarkEnd w:id="3"/>
    </w:p>
    <w:p w:rsidR="003D7679" w:rsidRPr="003D7679" w:rsidRDefault="003D7679" w:rsidP="003D7679">
      <w:pPr>
        <w:pStyle w:val="Nzev"/>
        <w:rPr>
          <w:sz w:val="28"/>
          <w:szCs w:val="36"/>
        </w:rPr>
      </w:pPr>
    </w:p>
    <w:p w:rsidR="003D7679" w:rsidRPr="003D7679" w:rsidRDefault="003D7679" w:rsidP="003D7679">
      <w:pPr>
        <w:pStyle w:val="Nzev"/>
        <w:rPr>
          <w:sz w:val="28"/>
          <w:szCs w:val="36"/>
        </w:rPr>
      </w:pPr>
    </w:p>
    <w:p w:rsidR="003D7679" w:rsidRPr="003D7679" w:rsidRDefault="004D68B6" w:rsidP="003D7679">
      <w:pPr>
        <w:pStyle w:val="Nadpis5"/>
        <w:rPr>
          <w:sz w:val="20"/>
        </w:rPr>
      </w:pPr>
      <w:r>
        <w:rPr>
          <w:sz w:val="20"/>
        </w:rPr>
        <w:t>Identifikační údaje zakázky</w:t>
      </w:r>
    </w:p>
    <w:p w:rsidR="003D7679" w:rsidRPr="003D7679" w:rsidRDefault="003D7679" w:rsidP="00C37E8B">
      <w:pPr>
        <w:pStyle w:val="Nadpis5"/>
        <w:rPr>
          <w:color w:val="FF0000"/>
          <w:sz w:val="20"/>
          <w:u w:val="single"/>
        </w:rPr>
      </w:pPr>
      <w:r w:rsidRPr="003D7679">
        <w:rPr>
          <w:bCs/>
          <w:iCs/>
          <w:sz w:val="20"/>
        </w:rPr>
        <w:t>Název:</w:t>
      </w:r>
      <w:r w:rsidRPr="003D7679">
        <w:rPr>
          <w:b w:val="0"/>
          <w:sz w:val="20"/>
        </w:rPr>
        <w:t xml:space="preserve">  </w:t>
      </w:r>
      <w:r w:rsidRPr="003D7679">
        <w:rPr>
          <w:sz w:val="20"/>
        </w:rPr>
        <w:tab/>
      </w:r>
      <w:r w:rsidRPr="003D7679">
        <w:rPr>
          <w:sz w:val="20"/>
        </w:rPr>
        <w:tab/>
      </w:r>
      <w:r w:rsidR="00C37E8B" w:rsidRPr="00C37E8B">
        <w:rPr>
          <w:bCs/>
          <w:iCs/>
          <w:sz w:val="20"/>
        </w:rPr>
        <w:t xml:space="preserve">Oprava </w:t>
      </w:r>
      <w:r w:rsidR="00BE4F26">
        <w:rPr>
          <w:bCs/>
          <w:iCs/>
          <w:sz w:val="20"/>
        </w:rPr>
        <w:t>osvětlen</w:t>
      </w:r>
      <w:r w:rsidR="0066168A" w:rsidRPr="0066168A">
        <w:rPr>
          <w:bCs/>
          <w:iCs/>
          <w:sz w:val="20"/>
        </w:rPr>
        <w:t xml:space="preserve">í žst. Ostrava hl.n. </w:t>
      </w:r>
    </w:p>
    <w:p w:rsidR="003D7679" w:rsidRPr="003D7679" w:rsidRDefault="003D7679" w:rsidP="003D7679">
      <w:pPr>
        <w:pStyle w:val="Nadpis5"/>
        <w:jc w:val="left"/>
        <w:rPr>
          <w:b w:val="0"/>
          <w:bCs/>
          <w:iCs/>
          <w:sz w:val="20"/>
        </w:rPr>
      </w:pPr>
      <w:r w:rsidRPr="003D7679">
        <w:rPr>
          <w:bCs/>
          <w:iCs/>
          <w:sz w:val="20"/>
        </w:rPr>
        <w:t>Stupeň PD:</w:t>
      </w:r>
      <w:r w:rsidRPr="003D7679">
        <w:rPr>
          <w:b w:val="0"/>
          <w:sz w:val="20"/>
        </w:rPr>
        <w:t xml:space="preserve"> </w:t>
      </w:r>
      <w:r w:rsidRPr="003D7679">
        <w:rPr>
          <w:sz w:val="20"/>
        </w:rPr>
        <w:tab/>
      </w:r>
      <w:r w:rsidRPr="003D7679">
        <w:rPr>
          <w:sz w:val="20"/>
        </w:rPr>
        <w:tab/>
      </w:r>
      <w:r w:rsidRPr="003D7679">
        <w:rPr>
          <w:b w:val="0"/>
          <w:bCs/>
          <w:iCs/>
          <w:sz w:val="20"/>
        </w:rPr>
        <w:t>PROJEKT</w:t>
      </w:r>
    </w:p>
    <w:p w:rsidR="003D7679" w:rsidRPr="003D7679" w:rsidRDefault="003D7679" w:rsidP="003D7679">
      <w:pPr>
        <w:ind w:left="2127" w:hanging="2127"/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b/>
          <w:sz w:val="20"/>
        </w:rPr>
        <w:t xml:space="preserve">Kraj: </w:t>
      </w:r>
      <w:r w:rsidRPr="003D7679">
        <w:rPr>
          <w:rFonts w:asciiTheme="majorHAnsi" w:hAnsiTheme="majorHAnsi"/>
          <w:sz w:val="20"/>
        </w:rPr>
        <w:tab/>
        <w:t>Moravskoslezský</w:t>
      </w:r>
    </w:p>
    <w:p w:rsidR="003D7679" w:rsidRDefault="003D7679" w:rsidP="003D7679">
      <w:pPr>
        <w:pStyle w:val="Zpat"/>
        <w:tabs>
          <w:tab w:val="clear" w:pos="4536"/>
          <w:tab w:val="center" w:pos="2127"/>
        </w:tabs>
      </w:pPr>
      <w:r w:rsidRPr="003D7679">
        <w:rPr>
          <w:rFonts w:asciiTheme="majorHAnsi" w:hAnsiTheme="majorHAnsi"/>
          <w:b/>
          <w:sz w:val="20"/>
        </w:rPr>
        <w:t>Investor:</w:t>
      </w:r>
      <w:r>
        <w:rPr>
          <w:rFonts w:asciiTheme="majorHAnsi" w:hAnsiTheme="majorHAnsi"/>
          <w:sz w:val="20"/>
        </w:rPr>
        <w:tab/>
        <w:t xml:space="preserve">               </w:t>
      </w:r>
      <w:r w:rsidRPr="003D7679">
        <w:rPr>
          <w:rFonts w:asciiTheme="majorHAnsi" w:hAnsiTheme="majorHAnsi"/>
          <w:sz w:val="20"/>
        </w:rPr>
        <w:t>Správa železnic, státní organizace</w:t>
      </w:r>
    </w:p>
    <w:p w:rsidR="003D7679" w:rsidRPr="003D7679" w:rsidRDefault="003D7679" w:rsidP="003D7679">
      <w:pPr>
        <w:pStyle w:val="Zpat"/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b/>
          <w:sz w:val="20"/>
        </w:rPr>
        <w:t>Zadavatel:</w:t>
      </w:r>
      <w:r>
        <w:rPr>
          <w:rFonts w:asciiTheme="majorHAnsi" w:hAnsiTheme="majorHAnsi"/>
          <w:b/>
          <w:sz w:val="20"/>
        </w:rPr>
        <w:t xml:space="preserve">              </w:t>
      </w:r>
      <w:r w:rsidRPr="003D7679">
        <w:rPr>
          <w:rFonts w:asciiTheme="majorHAnsi" w:hAnsiTheme="majorHAnsi"/>
          <w:sz w:val="20"/>
        </w:rPr>
        <w:t>Správa železnic, státní organizace, Oblastní ředitelství Ostrava</w:t>
      </w:r>
    </w:p>
    <w:p w:rsidR="003D7679" w:rsidRPr="003D7679" w:rsidRDefault="003D7679" w:rsidP="003D7679">
      <w:pPr>
        <w:pStyle w:val="Zpat"/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b/>
          <w:sz w:val="20"/>
        </w:rPr>
        <w:t>Provozovatel:</w:t>
      </w:r>
      <w:r>
        <w:rPr>
          <w:rFonts w:asciiTheme="majorHAnsi" w:hAnsiTheme="majorHAnsi"/>
          <w:sz w:val="20"/>
        </w:rPr>
        <w:t xml:space="preserve">        </w:t>
      </w:r>
      <w:r w:rsidRPr="003D7679">
        <w:rPr>
          <w:rFonts w:asciiTheme="majorHAnsi" w:hAnsiTheme="majorHAnsi"/>
          <w:sz w:val="20"/>
        </w:rPr>
        <w:t>Správa železnic, státní organizace</w:t>
      </w:r>
      <w:r>
        <w:rPr>
          <w:rFonts w:asciiTheme="majorHAnsi" w:hAnsiTheme="majorHAnsi"/>
          <w:sz w:val="20"/>
        </w:rPr>
        <w:t xml:space="preserve">, </w:t>
      </w:r>
      <w:r w:rsidRPr="003D7679">
        <w:rPr>
          <w:rFonts w:asciiTheme="majorHAnsi" w:hAnsiTheme="majorHAnsi"/>
          <w:sz w:val="20"/>
        </w:rPr>
        <w:t>Oblastní ředitelství Ostrava</w:t>
      </w:r>
    </w:p>
    <w:p w:rsidR="00C37E8B" w:rsidRPr="00C37E8B" w:rsidRDefault="003D7679" w:rsidP="00C37E8B">
      <w:pPr>
        <w:rPr>
          <w:rFonts w:asciiTheme="majorHAnsi" w:hAnsiTheme="majorHAnsi"/>
          <w:b/>
          <w:sz w:val="20"/>
        </w:rPr>
      </w:pPr>
      <w:r w:rsidRPr="003D7679">
        <w:rPr>
          <w:rFonts w:asciiTheme="majorHAnsi" w:hAnsiTheme="majorHAnsi"/>
          <w:b/>
          <w:sz w:val="20"/>
        </w:rPr>
        <w:t>Místo stavby:</w:t>
      </w:r>
      <w:r w:rsidRPr="003D7679">
        <w:rPr>
          <w:rFonts w:asciiTheme="majorHAnsi" w:hAnsiTheme="majorHAnsi"/>
          <w:sz w:val="20"/>
        </w:rPr>
        <w:tab/>
      </w:r>
      <w:r w:rsidR="00242CB7">
        <w:rPr>
          <w:rFonts w:asciiTheme="majorHAnsi" w:hAnsiTheme="majorHAnsi"/>
          <w:b/>
          <w:sz w:val="20"/>
        </w:rPr>
        <w:t>ž</w:t>
      </w:r>
      <w:r w:rsidR="00C37E8B" w:rsidRPr="00C37E8B">
        <w:rPr>
          <w:rFonts w:asciiTheme="majorHAnsi" w:hAnsiTheme="majorHAnsi"/>
          <w:b/>
          <w:sz w:val="20"/>
        </w:rPr>
        <w:t xml:space="preserve">st. </w:t>
      </w:r>
      <w:r w:rsidR="0066168A">
        <w:rPr>
          <w:rFonts w:asciiTheme="majorHAnsi" w:hAnsiTheme="majorHAnsi"/>
          <w:b/>
          <w:sz w:val="20"/>
        </w:rPr>
        <w:t>Ostrava hl.n.</w:t>
      </w:r>
    </w:p>
    <w:p w:rsidR="005A1511" w:rsidRPr="005A1511" w:rsidRDefault="00242CB7" w:rsidP="00242CB7">
      <w:pPr>
        <w:ind w:left="1416" w:firstLine="708"/>
        <w:rPr>
          <w:rFonts w:asciiTheme="majorHAnsi" w:hAnsiTheme="majorHAnsi"/>
          <w:sz w:val="20"/>
        </w:rPr>
      </w:pPr>
      <w:r w:rsidRPr="005A1511">
        <w:rPr>
          <w:rFonts w:asciiTheme="majorHAnsi" w:hAnsiTheme="majorHAnsi"/>
          <w:sz w:val="20"/>
        </w:rPr>
        <w:t xml:space="preserve">v km </w:t>
      </w:r>
      <w:r w:rsidR="00E0557B" w:rsidRPr="005A1511">
        <w:rPr>
          <w:rFonts w:asciiTheme="majorHAnsi" w:hAnsiTheme="majorHAnsi"/>
          <w:sz w:val="20"/>
        </w:rPr>
        <w:t>263</w:t>
      </w:r>
      <w:r w:rsidRPr="005A1511">
        <w:rPr>
          <w:rFonts w:asciiTheme="majorHAnsi" w:hAnsiTheme="majorHAnsi"/>
          <w:sz w:val="20"/>
        </w:rPr>
        <w:t>,</w:t>
      </w:r>
      <w:r w:rsidR="00E0557B" w:rsidRPr="005A1511">
        <w:rPr>
          <w:rFonts w:asciiTheme="majorHAnsi" w:hAnsiTheme="majorHAnsi"/>
          <w:sz w:val="20"/>
        </w:rPr>
        <w:t>9</w:t>
      </w:r>
      <w:r w:rsidRPr="005A1511">
        <w:rPr>
          <w:rFonts w:asciiTheme="majorHAnsi" w:hAnsiTheme="majorHAnsi"/>
          <w:sz w:val="20"/>
        </w:rPr>
        <w:t xml:space="preserve">00 – </w:t>
      </w:r>
      <w:r w:rsidR="00E0557B" w:rsidRPr="005A1511">
        <w:rPr>
          <w:rFonts w:asciiTheme="majorHAnsi" w:hAnsiTheme="majorHAnsi"/>
          <w:sz w:val="20"/>
        </w:rPr>
        <w:t>264,800</w:t>
      </w:r>
      <w:r w:rsidRPr="005A1511">
        <w:rPr>
          <w:rFonts w:asciiTheme="majorHAnsi" w:hAnsiTheme="majorHAnsi"/>
          <w:sz w:val="20"/>
        </w:rPr>
        <w:t xml:space="preserve"> na trati </w:t>
      </w:r>
    </w:p>
    <w:p w:rsidR="00242CB7" w:rsidRPr="005A1511" w:rsidRDefault="005A1511" w:rsidP="00242CB7">
      <w:pPr>
        <w:ind w:left="1416" w:firstLine="708"/>
        <w:rPr>
          <w:rFonts w:asciiTheme="majorHAnsi" w:hAnsiTheme="majorHAnsi"/>
          <w:sz w:val="20"/>
        </w:rPr>
      </w:pPr>
      <w:r w:rsidRPr="005A1511">
        <w:rPr>
          <w:rFonts w:asciiTheme="majorHAnsi" w:hAnsiTheme="majorHAnsi"/>
          <w:sz w:val="20"/>
        </w:rPr>
        <w:t>Hranice na Moravě – Petrovice u Karviné</w:t>
      </w:r>
    </w:p>
    <w:p w:rsidR="003D7679" w:rsidRDefault="003D7679" w:rsidP="003D7679">
      <w:pPr>
        <w:rPr>
          <w:rFonts w:asciiTheme="majorHAnsi" w:hAnsiTheme="majorHAnsi"/>
          <w:sz w:val="20"/>
        </w:rPr>
      </w:pPr>
    </w:p>
    <w:p w:rsidR="00242CB7" w:rsidRDefault="00242CB7" w:rsidP="003D7679">
      <w:pPr>
        <w:rPr>
          <w:rFonts w:asciiTheme="majorHAnsi" w:hAnsiTheme="majorHAnsi"/>
          <w:sz w:val="20"/>
        </w:rPr>
      </w:pPr>
    </w:p>
    <w:p w:rsidR="00242CB7" w:rsidRDefault="00242CB7" w:rsidP="003D7679">
      <w:pPr>
        <w:rPr>
          <w:rFonts w:asciiTheme="majorHAnsi" w:hAnsiTheme="majorHAnsi"/>
          <w:sz w:val="20"/>
        </w:rPr>
      </w:pPr>
    </w:p>
    <w:p w:rsidR="00242CB7" w:rsidRDefault="00242CB7" w:rsidP="003D7679">
      <w:pPr>
        <w:rPr>
          <w:rFonts w:asciiTheme="majorHAnsi" w:hAnsiTheme="majorHAnsi"/>
          <w:sz w:val="20"/>
        </w:rPr>
      </w:pPr>
    </w:p>
    <w:p w:rsidR="00242CB7" w:rsidRDefault="00242CB7" w:rsidP="003D7679">
      <w:pPr>
        <w:rPr>
          <w:rFonts w:asciiTheme="majorHAnsi" w:hAnsiTheme="majorHAnsi"/>
          <w:sz w:val="20"/>
        </w:rPr>
      </w:pPr>
    </w:p>
    <w:p w:rsidR="00242CB7" w:rsidRDefault="00242CB7" w:rsidP="003D7679">
      <w:pPr>
        <w:rPr>
          <w:rFonts w:asciiTheme="majorHAnsi" w:hAnsiTheme="majorHAnsi"/>
          <w:sz w:val="20"/>
        </w:rPr>
      </w:pPr>
    </w:p>
    <w:p w:rsidR="00242CB7" w:rsidRPr="003D7679" w:rsidRDefault="00242CB7" w:rsidP="003D7679">
      <w:pPr>
        <w:rPr>
          <w:rFonts w:asciiTheme="majorHAnsi" w:hAnsiTheme="majorHAnsi"/>
          <w:sz w:val="20"/>
        </w:rPr>
      </w:pPr>
    </w:p>
    <w:p w:rsidR="00281FA1" w:rsidRDefault="00281FA1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 xml:space="preserve">Vypracoval : </w:t>
      </w:r>
      <w:r>
        <w:rPr>
          <w:rFonts w:asciiTheme="majorHAnsi" w:hAnsiTheme="majorHAnsi"/>
          <w:b/>
          <w:sz w:val="20"/>
        </w:rPr>
        <w:tab/>
      </w:r>
      <w:r>
        <w:rPr>
          <w:rFonts w:asciiTheme="majorHAnsi" w:hAnsiTheme="majorHAnsi"/>
          <w:b/>
          <w:sz w:val="20"/>
        </w:rPr>
        <w:tab/>
      </w:r>
      <w:r w:rsidRPr="003D7679">
        <w:rPr>
          <w:rFonts w:asciiTheme="majorHAnsi" w:hAnsiTheme="majorHAnsi"/>
          <w:b/>
          <w:sz w:val="20"/>
        </w:rPr>
        <w:t>Kontroloval :</w:t>
      </w:r>
      <w:r w:rsidR="00281FA1" w:rsidRPr="00281FA1">
        <w:rPr>
          <w:rFonts w:asciiTheme="majorHAnsi" w:hAnsiTheme="majorHAnsi"/>
          <w:b/>
          <w:sz w:val="20"/>
        </w:rPr>
        <w:t xml:space="preserve"> </w:t>
      </w:r>
      <w:r w:rsidRPr="003D7679">
        <w:rPr>
          <w:rFonts w:asciiTheme="majorHAnsi" w:hAnsiTheme="majorHAnsi"/>
          <w:b/>
          <w:sz w:val="20"/>
        </w:rPr>
        <w:tab/>
      </w:r>
      <w:r w:rsidR="00617A8A">
        <w:rPr>
          <w:rFonts w:asciiTheme="majorHAnsi" w:hAnsiTheme="majorHAnsi"/>
          <w:b/>
          <w:sz w:val="20"/>
        </w:rPr>
        <w:tab/>
      </w:r>
      <w:r w:rsidR="00617A8A">
        <w:rPr>
          <w:rFonts w:asciiTheme="majorHAnsi" w:hAnsiTheme="majorHAnsi"/>
          <w:b/>
          <w:sz w:val="20"/>
        </w:rPr>
        <w:tab/>
      </w:r>
      <w:r w:rsidRPr="003D7679">
        <w:rPr>
          <w:rFonts w:asciiTheme="majorHAnsi" w:hAnsiTheme="majorHAnsi"/>
          <w:b/>
          <w:sz w:val="20"/>
        </w:rPr>
        <w:t>Schválil:</w:t>
      </w:r>
      <w:r w:rsidR="00281FA1" w:rsidRPr="00281FA1">
        <w:rPr>
          <w:rFonts w:asciiTheme="majorHAnsi" w:hAnsiTheme="majorHAnsi"/>
          <w:b/>
          <w:sz w:val="20"/>
        </w:rPr>
        <w:t xml:space="preserve"> </w:t>
      </w:r>
    </w:p>
    <w:p w:rsidR="003D7679" w:rsidRPr="003D7679" w:rsidRDefault="003D7679" w:rsidP="003D7679">
      <w:pPr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sz w:val="20"/>
        </w:rPr>
        <w:t>Radek Cibulka</w:t>
      </w:r>
      <w:r w:rsidRPr="003D7679">
        <w:rPr>
          <w:rFonts w:asciiTheme="majorHAnsi" w:hAnsiTheme="majorHAnsi"/>
          <w:sz w:val="20"/>
        </w:rPr>
        <w:tab/>
      </w:r>
      <w:r w:rsidRPr="003D7679">
        <w:rPr>
          <w:rFonts w:asciiTheme="majorHAnsi" w:hAnsiTheme="majorHAnsi"/>
          <w:sz w:val="20"/>
        </w:rPr>
        <w:tab/>
        <w:t>Ing. Bogdan Fukala Ph.D.</w:t>
      </w:r>
      <w:r w:rsidRPr="003D7679">
        <w:rPr>
          <w:rFonts w:asciiTheme="majorHAnsi" w:hAnsiTheme="majorHAnsi"/>
          <w:sz w:val="20"/>
        </w:rPr>
        <w:tab/>
      </w:r>
      <w:r w:rsidRPr="003D7679">
        <w:rPr>
          <w:rFonts w:asciiTheme="majorHAnsi" w:hAnsiTheme="majorHAnsi"/>
          <w:sz w:val="20"/>
        </w:rPr>
        <w:tab/>
        <w:t>Ing. Jaromír Hubač</w:t>
      </w: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sz w:val="20"/>
        </w:rPr>
        <w:t xml:space="preserve">Dne </w:t>
      </w:r>
      <w:r w:rsidR="00BE4F26">
        <w:rPr>
          <w:rFonts w:asciiTheme="majorHAnsi" w:hAnsiTheme="majorHAnsi"/>
          <w:sz w:val="20"/>
        </w:rPr>
        <w:t>3.8</w:t>
      </w:r>
      <w:r>
        <w:rPr>
          <w:rFonts w:asciiTheme="majorHAnsi" w:hAnsiTheme="majorHAnsi"/>
          <w:sz w:val="20"/>
        </w:rPr>
        <w:t>.2020</w:t>
      </w:r>
    </w:p>
    <w:p w:rsidR="003D7679" w:rsidRPr="003D7679" w:rsidRDefault="003D7679" w:rsidP="003D7679">
      <w:pPr>
        <w:rPr>
          <w:rFonts w:asciiTheme="majorHAnsi" w:hAnsiTheme="majorHAnsi"/>
          <w:b/>
          <w:sz w:val="20"/>
        </w:rPr>
      </w:pPr>
      <w:r w:rsidRPr="003D7679">
        <w:rPr>
          <w:rFonts w:asciiTheme="majorHAnsi" w:hAnsiTheme="majorHAnsi"/>
          <w:sz w:val="20"/>
        </w:rPr>
        <w:br w:type="page"/>
      </w:r>
      <w:r w:rsidRPr="003D7679">
        <w:rPr>
          <w:rFonts w:asciiTheme="majorHAnsi" w:hAnsiTheme="majorHAnsi"/>
          <w:b/>
          <w:sz w:val="20"/>
        </w:rPr>
        <w:lastRenderedPageBreak/>
        <w:t>Obsah:</w:t>
      </w:r>
    </w:p>
    <w:p w:rsidR="00BE4F26" w:rsidRDefault="001A0D7A">
      <w:pPr>
        <w:pStyle w:val="Obsah1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D7679">
        <w:rPr>
          <w:rFonts w:asciiTheme="majorHAnsi" w:hAnsiTheme="majorHAnsi"/>
          <w:iCs/>
          <w:noProof/>
          <w:color w:val="FF0000"/>
          <w:sz w:val="20"/>
        </w:rPr>
        <w:fldChar w:fldCharType="begin"/>
      </w:r>
      <w:r w:rsidR="003D7679" w:rsidRPr="003D7679">
        <w:rPr>
          <w:rFonts w:asciiTheme="majorHAnsi" w:hAnsiTheme="majorHAnsi"/>
          <w:iCs/>
          <w:noProof/>
          <w:color w:val="FF0000"/>
          <w:sz w:val="20"/>
        </w:rPr>
        <w:instrText xml:space="preserve"> TOC \o "1-3" \h \z </w:instrText>
      </w:r>
      <w:r w:rsidRPr="003D7679">
        <w:rPr>
          <w:rFonts w:asciiTheme="majorHAnsi" w:hAnsiTheme="majorHAnsi"/>
          <w:iCs/>
          <w:noProof/>
          <w:color w:val="FF0000"/>
          <w:sz w:val="20"/>
        </w:rPr>
        <w:fldChar w:fldCharType="separate"/>
      </w:r>
      <w:hyperlink w:anchor="_Toc47367917" w:history="1">
        <w:r w:rsidR="00BE4F26" w:rsidRPr="00367245">
          <w:rPr>
            <w:rStyle w:val="Hypertextovodkaz"/>
            <w:noProof/>
            <w:kern w:val="28"/>
          </w:rPr>
          <w:t>Technická zpráva</w:t>
        </w:r>
        <w:r w:rsidR="00BE4F26">
          <w:rPr>
            <w:noProof/>
            <w:webHidden/>
          </w:rPr>
          <w:tab/>
        </w:r>
        <w:r w:rsidR="00BE4F26">
          <w:rPr>
            <w:noProof/>
            <w:webHidden/>
          </w:rPr>
          <w:fldChar w:fldCharType="begin"/>
        </w:r>
        <w:r w:rsidR="00BE4F26">
          <w:rPr>
            <w:noProof/>
            <w:webHidden/>
          </w:rPr>
          <w:instrText xml:space="preserve"> PAGEREF _Toc47367917 \h </w:instrText>
        </w:r>
        <w:r w:rsidR="00BE4F26">
          <w:rPr>
            <w:noProof/>
            <w:webHidden/>
          </w:rPr>
        </w:r>
        <w:r w:rsidR="00BE4F26">
          <w:rPr>
            <w:noProof/>
            <w:webHidden/>
          </w:rPr>
          <w:fldChar w:fldCharType="separate"/>
        </w:r>
        <w:r w:rsidR="00BE4F26">
          <w:rPr>
            <w:noProof/>
            <w:webHidden/>
          </w:rPr>
          <w:t>1</w:t>
        </w:r>
        <w:r w:rsidR="00BE4F26">
          <w:rPr>
            <w:noProof/>
            <w:webHidden/>
          </w:rPr>
          <w:fldChar w:fldCharType="end"/>
        </w:r>
      </w:hyperlink>
    </w:p>
    <w:p w:rsidR="00BE4F26" w:rsidRDefault="0058664B">
      <w:pPr>
        <w:pStyle w:val="Obsah1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367918" w:history="1">
        <w:r w:rsidR="00BE4F26" w:rsidRPr="00367245">
          <w:rPr>
            <w:rStyle w:val="Hypertextovodkaz"/>
            <w:noProof/>
            <w:kern w:val="28"/>
          </w:rPr>
          <w:t>zadávací dokumentace zakázky</w:t>
        </w:r>
        <w:r w:rsidR="00BE4F26">
          <w:rPr>
            <w:noProof/>
            <w:webHidden/>
          </w:rPr>
          <w:tab/>
        </w:r>
        <w:r w:rsidR="00BE4F26">
          <w:rPr>
            <w:noProof/>
            <w:webHidden/>
          </w:rPr>
          <w:fldChar w:fldCharType="begin"/>
        </w:r>
        <w:r w:rsidR="00BE4F26">
          <w:rPr>
            <w:noProof/>
            <w:webHidden/>
          </w:rPr>
          <w:instrText xml:space="preserve"> PAGEREF _Toc47367918 \h </w:instrText>
        </w:r>
        <w:r w:rsidR="00BE4F26">
          <w:rPr>
            <w:noProof/>
            <w:webHidden/>
          </w:rPr>
        </w:r>
        <w:r w:rsidR="00BE4F26">
          <w:rPr>
            <w:noProof/>
            <w:webHidden/>
          </w:rPr>
          <w:fldChar w:fldCharType="separate"/>
        </w:r>
        <w:r w:rsidR="00BE4F26">
          <w:rPr>
            <w:noProof/>
            <w:webHidden/>
          </w:rPr>
          <w:t>1</w:t>
        </w:r>
        <w:r w:rsidR="00BE4F26">
          <w:rPr>
            <w:noProof/>
            <w:webHidden/>
          </w:rPr>
          <w:fldChar w:fldCharType="end"/>
        </w:r>
      </w:hyperlink>
    </w:p>
    <w:p w:rsidR="00BE4F26" w:rsidRDefault="0058664B">
      <w:pPr>
        <w:pStyle w:val="Obsah2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367919" w:history="1">
        <w:r w:rsidR="00BE4F26" w:rsidRPr="00367245">
          <w:rPr>
            <w:rStyle w:val="Hypertextovodkaz"/>
            <w:noProof/>
            <w:kern w:val="28"/>
          </w:rPr>
          <w:t>Oprava osvětlení žst. Ostrava hl.n.</w:t>
        </w:r>
        <w:r w:rsidR="00BE4F26">
          <w:rPr>
            <w:noProof/>
            <w:webHidden/>
          </w:rPr>
          <w:tab/>
        </w:r>
        <w:r w:rsidR="00BE4F26">
          <w:rPr>
            <w:noProof/>
            <w:webHidden/>
          </w:rPr>
          <w:fldChar w:fldCharType="begin"/>
        </w:r>
        <w:r w:rsidR="00BE4F26">
          <w:rPr>
            <w:noProof/>
            <w:webHidden/>
          </w:rPr>
          <w:instrText xml:space="preserve"> PAGEREF _Toc47367919 \h </w:instrText>
        </w:r>
        <w:r w:rsidR="00BE4F26">
          <w:rPr>
            <w:noProof/>
            <w:webHidden/>
          </w:rPr>
        </w:r>
        <w:r w:rsidR="00BE4F26">
          <w:rPr>
            <w:noProof/>
            <w:webHidden/>
          </w:rPr>
          <w:fldChar w:fldCharType="separate"/>
        </w:r>
        <w:r w:rsidR="00BE4F26">
          <w:rPr>
            <w:noProof/>
            <w:webHidden/>
          </w:rPr>
          <w:t>1</w:t>
        </w:r>
        <w:r w:rsidR="00BE4F26">
          <w:rPr>
            <w:noProof/>
            <w:webHidden/>
          </w:rPr>
          <w:fldChar w:fldCharType="end"/>
        </w:r>
      </w:hyperlink>
    </w:p>
    <w:p w:rsidR="00BE4F26" w:rsidRDefault="0058664B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367920" w:history="1">
        <w:r w:rsidR="00BE4F26" w:rsidRPr="00367245">
          <w:rPr>
            <w:rStyle w:val="Hypertextovodkaz"/>
            <w:bCs/>
            <w:caps/>
            <w:noProof/>
          </w:rPr>
          <w:t>1.</w:t>
        </w:r>
        <w:r w:rsidR="00BE4F2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E4F26" w:rsidRPr="00367245">
          <w:rPr>
            <w:rStyle w:val="Hypertextovodkaz"/>
            <w:bCs/>
            <w:caps/>
            <w:noProof/>
          </w:rPr>
          <w:t>OBECNÁ ČÁST ZADÁVACÍ DOKUMENTACE zakázky</w:t>
        </w:r>
        <w:r w:rsidR="00BE4F26">
          <w:rPr>
            <w:noProof/>
            <w:webHidden/>
          </w:rPr>
          <w:tab/>
        </w:r>
        <w:r w:rsidR="00BE4F26">
          <w:rPr>
            <w:noProof/>
            <w:webHidden/>
          </w:rPr>
          <w:fldChar w:fldCharType="begin"/>
        </w:r>
        <w:r w:rsidR="00BE4F26">
          <w:rPr>
            <w:noProof/>
            <w:webHidden/>
          </w:rPr>
          <w:instrText xml:space="preserve"> PAGEREF _Toc47367920 \h </w:instrText>
        </w:r>
        <w:r w:rsidR="00BE4F26">
          <w:rPr>
            <w:noProof/>
            <w:webHidden/>
          </w:rPr>
        </w:r>
        <w:r w:rsidR="00BE4F26">
          <w:rPr>
            <w:noProof/>
            <w:webHidden/>
          </w:rPr>
          <w:fldChar w:fldCharType="separate"/>
        </w:r>
        <w:r w:rsidR="00BE4F26">
          <w:rPr>
            <w:noProof/>
            <w:webHidden/>
          </w:rPr>
          <w:t>3</w:t>
        </w:r>
        <w:r w:rsidR="00BE4F26">
          <w:rPr>
            <w:noProof/>
            <w:webHidden/>
          </w:rPr>
          <w:fldChar w:fldCharType="end"/>
        </w:r>
      </w:hyperlink>
    </w:p>
    <w:p w:rsidR="00BE4F26" w:rsidRDefault="0058664B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367921" w:history="1">
        <w:r w:rsidR="00BE4F26" w:rsidRPr="00367245">
          <w:rPr>
            <w:rStyle w:val="Hypertextovodkaz"/>
            <w:caps/>
            <w:noProof/>
          </w:rPr>
          <w:t>2.</w:t>
        </w:r>
        <w:r w:rsidR="00BE4F2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E4F26" w:rsidRPr="00367245">
          <w:rPr>
            <w:rStyle w:val="Hypertextovodkaz"/>
            <w:bCs/>
            <w:caps/>
            <w:noProof/>
          </w:rPr>
          <w:t>Umístnění a vlastnické vztahy</w:t>
        </w:r>
        <w:r w:rsidR="00BE4F26">
          <w:rPr>
            <w:noProof/>
            <w:webHidden/>
          </w:rPr>
          <w:tab/>
        </w:r>
        <w:r w:rsidR="00BE4F26">
          <w:rPr>
            <w:noProof/>
            <w:webHidden/>
          </w:rPr>
          <w:fldChar w:fldCharType="begin"/>
        </w:r>
        <w:r w:rsidR="00BE4F26">
          <w:rPr>
            <w:noProof/>
            <w:webHidden/>
          </w:rPr>
          <w:instrText xml:space="preserve"> PAGEREF _Toc47367921 \h </w:instrText>
        </w:r>
        <w:r w:rsidR="00BE4F26">
          <w:rPr>
            <w:noProof/>
            <w:webHidden/>
          </w:rPr>
        </w:r>
        <w:r w:rsidR="00BE4F26">
          <w:rPr>
            <w:noProof/>
            <w:webHidden/>
          </w:rPr>
          <w:fldChar w:fldCharType="separate"/>
        </w:r>
        <w:r w:rsidR="00BE4F26">
          <w:rPr>
            <w:noProof/>
            <w:webHidden/>
          </w:rPr>
          <w:t>3</w:t>
        </w:r>
        <w:r w:rsidR="00BE4F26">
          <w:rPr>
            <w:noProof/>
            <w:webHidden/>
          </w:rPr>
          <w:fldChar w:fldCharType="end"/>
        </w:r>
      </w:hyperlink>
    </w:p>
    <w:p w:rsidR="00BE4F26" w:rsidRDefault="0058664B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367922" w:history="1">
        <w:r w:rsidR="00BE4F26" w:rsidRPr="00367245">
          <w:rPr>
            <w:rStyle w:val="Hypertextovodkaz"/>
            <w:caps/>
            <w:noProof/>
          </w:rPr>
          <w:t>3.</w:t>
        </w:r>
        <w:r w:rsidR="00BE4F2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E4F26" w:rsidRPr="00367245">
          <w:rPr>
            <w:rStyle w:val="Hypertextovodkaz"/>
            <w:bCs/>
            <w:caps/>
            <w:noProof/>
          </w:rPr>
          <w:t>Vymezení rozsahu a obsahu stavby</w:t>
        </w:r>
        <w:r w:rsidR="00BE4F26">
          <w:rPr>
            <w:noProof/>
            <w:webHidden/>
          </w:rPr>
          <w:tab/>
        </w:r>
        <w:r w:rsidR="00BE4F26">
          <w:rPr>
            <w:noProof/>
            <w:webHidden/>
          </w:rPr>
          <w:fldChar w:fldCharType="begin"/>
        </w:r>
        <w:r w:rsidR="00BE4F26">
          <w:rPr>
            <w:noProof/>
            <w:webHidden/>
          </w:rPr>
          <w:instrText xml:space="preserve"> PAGEREF _Toc47367922 \h </w:instrText>
        </w:r>
        <w:r w:rsidR="00BE4F26">
          <w:rPr>
            <w:noProof/>
            <w:webHidden/>
          </w:rPr>
        </w:r>
        <w:r w:rsidR="00BE4F26">
          <w:rPr>
            <w:noProof/>
            <w:webHidden/>
          </w:rPr>
          <w:fldChar w:fldCharType="separate"/>
        </w:r>
        <w:r w:rsidR="00BE4F26">
          <w:rPr>
            <w:noProof/>
            <w:webHidden/>
          </w:rPr>
          <w:t>3</w:t>
        </w:r>
        <w:r w:rsidR="00BE4F26">
          <w:rPr>
            <w:noProof/>
            <w:webHidden/>
          </w:rPr>
          <w:fldChar w:fldCharType="end"/>
        </w:r>
      </w:hyperlink>
    </w:p>
    <w:p w:rsidR="00BE4F26" w:rsidRDefault="0058664B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367923" w:history="1">
        <w:r w:rsidR="00BE4F26" w:rsidRPr="00367245">
          <w:rPr>
            <w:rStyle w:val="Hypertextovodkaz"/>
            <w:caps/>
            <w:noProof/>
          </w:rPr>
          <w:t>4.</w:t>
        </w:r>
        <w:r w:rsidR="00BE4F2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E4F26" w:rsidRPr="00367245">
          <w:rPr>
            <w:rStyle w:val="Hypertextovodkaz"/>
            <w:bCs/>
            <w:caps/>
            <w:noProof/>
          </w:rPr>
          <w:t>Bezpečnostní normy a předpisy</w:t>
        </w:r>
        <w:r w:rsidR="00BE4F26">
          <w:rPr>
            <w:noProof/>
            <w:webHidden/>
          </w:rPr>
          <w:tab/>
        </w:r>
        <w:r w:rsidR="00BE4F26">
          <w:rPr>
            <w:noProof/>
            <w:webHidden/>
          </w:rPr>
          <w:fldChar w:fldCharType="begin"/>
        </w:r>
        <w:r w:rsidR="00BE4F26">
          <w:rPr>
            <w:noProof/>
            <w:webHidden/>
          </w:rPr>
          <w:instrText xml:space="preserve"> PAGEREF _Toc47367923 \h </w:instrText>
        </w:r>
        <w:r w:rsidR="00BE4F26">
          <w:rPr>
            <w:noProof/>
            <w:webHidden/>
          </w:rPr>
        </w:r>
        <w:r w:rsidR="00BE4F26">
          <w:rPr>
            <w:noProof/>
            <w:webHidden/>
          </w:rPr>
          <w:fldChar w:fldCharType="separate"/>
        </w:r>
        <w:r w:rsidR="00BE4F26">
          <w:rPr>
            <w:noProof/>
            <w:webHidden/>
          </w:rPr>
          <w:t>3</w:t>
        </w:r>
        <w:r w:rsidR="00BE4F26">
          <w:rPr>
            <w:noProof/>
            <w:webHidden/>
          </w:rPr>
          <w:fldChar w:fldCharType="end"/>
        </w:r>
      </w:hyperlink>
    </w:p>
    <w:p w:rsidR="003D7679" w:rsidRPr="003D7679" w:rsidRDefault="001A0D7A" w:rsidP="003D7679">
      <w:pPr>
        <w:rPr>
          <w:rFonts w:asciiTheme="majorHAnsi" w:hAnsiTheme="majorHAnsi"/>
          <w:b/>
          <w:bCs/>
          <w:iCs/>
          <w:noProof/>
          <w:color w:val="FF0000"/>
          <w:sz w:val="20"/>
          <w:szCs w:val="24"/>
        </w:rPr>
      </w:pPr>
      <w:r w:rsidRPr="003D7679">
        <w:rPr>
          <w:rFonts w:asciiTheme="majorHAnsi" w:hAnsiTheme="majorHAnsi"/>
          <w:b/>
          <w:bCs/>
          <w:iCs/>
          <w:noProof/>
          <w:color w:val="FF0000"/>
          <w:sz w:val="20"/>
          <w:szCs w:val="24"/>
        </w:rPr>
        <w:fldChar w:fldCharType="end"/>
      </w:r>
    </w:p>
    <w:p w:rsidR="003D7679" w:rsidRPr="003D7679" w:rsidRDefault="003D7679" w:rsidP="003D7679">
      <w:pPr>
        <w:rPr>
          <w:rFonts w:asciiTheme="majorHAnsi" w:hAnsiTheme="majorHAnsi"/>
          <w:b/>
          <w:bCs/>
          <w:iCs/>
          <w:noProof/>
          <w:color w:val="FF0000"/>
          <w:sz w:val="20"/>
          <w:szCs w:val="24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b/>
          <w:sz w:val="20"/>
        </w:rPr>
      </w:pPr>
      <w:r w:rsidRPr="003D7679">
        <w:rPr>
          <w:rFonts w:asciiTheme="majorHAnsi" w:hAnsiTheme="majorHAnsi"/>
          <w:b/>
          <w:sz w:val="20"/>
        </w:rPr>
        <w:t>Přílohy:</w:t>
      </w:r>
    </w:p>
    <w:p w:rsidR="003D7679" w:rsidRPr="003D7679" w:rsidRDefault="003D7679" w:rsidP="003D7679">
      <w:pPr>
        <w:rPr>
          <w:rFonts w:asciiTheme="majorHAnsi" w:hAnsiTheme="majorHAnsi"/>
          <w:b/>
          <w:sz w:val="20"/>
        </w:rPr>
      </w:pPr>
    </w:p>
    <w:p w:rsidR="003D7679" w:rsidRPr="003D7679" w:rsidRDefault="003D7679" w:rsidP="003D7679">
      <w:pPr>
        <w:ind w:firstLine="709"/>
        <w:rPr>
          <w:rFonts w:asciiTheme="majorHAnsi" w:hAnsiTheme="majorHAnsi"/>
          <w:sz w:val="20"/>
        </w:rPr>
      </w:pPr>
    </w:p>
    <w:p w:rsidR="0066168A" w:rsidRPr="0066168A" w:rsidRDefault="00C37E8B" w:rsidP="0066168A">
      <w:pPr>
        <w:numPr>
          <w:ilvl w:val="0"/>
          <w:numId w:val="37"/>
        </w:numPr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 xml:space="preserve">PD - </w:t>
      </w:r>
      <w:r w:rsidR="0066168A" w:rsidRPr="0066168A">
        <w:rPr>
          <w:rFonts w:asciiTheme="majorHAnsi" w:hAnsiTheme="majorHAnsi"/>
          <w:sz w:val="20"/>
        </w:rPr>
        <w:t>Oprava osvětlovacích věží Ostrava (O.levé n. a OMH)</w:t>
      </w:r>
    </w:p>
    <w:p w:rsidR="003D7679" w:rsidRPr="00C37E8B" w:rsidRDefault="0066168A" w:rsidP="0066168A">
      <w:pPr>
        <w:ind w:left="720"/>
        <w:rPr>
          <w:rFonts w:asciiTheme="majorHAnsi" w:hAnsiTheme="majorHAnsi"/>
          <w:sz w:val="20"/>
        </w:rPr>
      </w:pPr>
      <w:r w:rsidRPr="0066168A">
        <w:rPr>
          <w:rFonts w:asciiTheme="majorHAnsi" w:hAnsiTheme="majorHAnsi"/>
          <w:sz w:val="20"/>
        </w:rPr>
        <w:t>SO 03 - Oprava osvětlovacích věží 1ONV-9ONV</w:t>
      </w:r>
    </w:p>
    <w:p w:rsidR="003D7679" w:rsidRPr="003D7679" w:rsidRDefault="003D7679" w:rsidP="003D7679">
      <w:pPr>
        <w:ind w:left="709"/>
        <w:rPr>
          <w:rFonts w:asciiTheme="majorHAnsi" w:hAnsiTheme="majorHAnsi"/>
          <w:sz w:val="20"/>
        </w:rPr>
      </w:pPr>
    </w:p>
    <w:p w:rsidR="003D7679" w:rsidRPr="0066168A" w:rsidRDefault="003D7679" w:rsidP="003D7679">
      <w:pPr>
        <w:ind w:firstLine="709"/>
        <w:rPr>
          <w:rFonts w:asciiTheme="majorHAnsi" w:hAnsiTheme="majorHAnsi"/>
          <w:b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C37E8B" w:rsidRDefault="00C37E8B" w:rsidP="003D7679">
      <w:pPr>
        <w:ind w:left="360"/>
        <w:rPr>
          <w:rFonts w:asciiTheme="majorHAnsi" w:hAnsiTheme="majorHAnsi"/>
          <w:sz w:val="20"/>
        </w:rPr>
      </w:pPr>
    </w:p>
    <w:p w:rsidR="00C37E8B" w:rsidRDefault="00C37E8B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bCs/>
          <w:caps/>
          <w:sz w:val="20"/>
        </w:rPr>
      </w:pPr>
      <w:bookmarkStart w:id="4" w:name="_Toc355243114"/>
      <w:bookmarkStart w:id="5" w:name="_Toc354734732"/>
      <w:bookmarkStart w:id="6" w:name="_Toc354730961"/>
      <w:bookmarkStart w:id="7" w:name="_Toc47367920"/>
      <w:bookmarkStart w:id="8" w:name="_Toc284315763"/>
      <w:r w:rsidRPr="003D7679">
        <w:rPr>
          <w:bCs/>
          <w:caps/>
          <w:sz w:val="20"/>
        </w:rPr>
        <w:t xml:space="preserve">OBECNÁ ČÁST ZADÁVACÍ DOKUMENTACE </w:t>
      </w:r>
      <w:bookmarkEnd w:id="4"/>
      <w:bookmarkEnd w:id="5"/>
      <w:bookmarkEnd w:id="6"/>
      <w:r w:rsidRPr="003D7679">
        <w:rPr>
          <w:bCs/>
          <w:caps/>
          <w:sz w:val="20"/>
        </w:rPr>
        <w:t>zakázky</w:t>
      </w:r>
      <w:bookmarkEnd w:id="7"/>
    </w:p>
    <w:p w:rsidR="003D7679" w:rsidRPr="003D7679" w:rsidRDefault="003D7679" w:rsidP="003D7679">
      <w:pPr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tabs>
          <w:tab w:val="left" w:pos="-4962"/>
        </w:tabs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Zadávací dokumentace se týká zakázky „</w:t>
      </w:r>
      <w:r w:rsidR="00BE4F26">
        <w:rPr>
          <w:rFonts w:asciiTheme="majorHAnsi" w:hAnsiTheme="majorHAnsi"/>
          <w:sz w:val="20"/>
        </w:rPr>
        <w:t>Oprava osvětlení žst. Ostrava hl.n.</w:t>
      </w:r>
      <w:r w:rsidR="00617A8A">
        <w:rPr>
          <w:rFonts w:asciiTheme="majorHAnsi" w:hAnsiTheme="majorHAnsi"/>
          <w:sz w:val="20"/>
        </w:rPr>
        <w:t>“</w:t>
      </w:r>
    </w:p>
    <w:p w:rsidR="003D7679" w:rsidRPr="003D7679" w:rsidRDefault="003D7679" w:rsidP="003D7679">
      <w:pPr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caps/>
          <w:sz w:val="20"/>
        </w:rPr>
      </w:pPr>
      <w:bookmarkStart w:id="9" w:name="_Toc355243116"/>
      <w:bookmarkStart w:id="10" w:name="_Toc47367921"/>
      <w:r w:rsidRPr="003D7679">
        <w:rPr>
          <w:bCs/>
          <w:caps/>
          <w:sz w:val="20"/>
        </w:rPr>
        <w:t>Umístnění a vlastnické vztahy</w:t>
      </w:r>
      <w:bookmarkEnd w:id="9"/>
      <w:bookmarkEnd w:id="10"/>
    </w:p>
    <w:p w:rsidR="003D7679" w:rsidRPr="003D7679" w:rsidRDefault="003D7679" w:rsidP="003D7679">
      <w:pPr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Osvětlení včetně kabelových rozvodů je v majetku státu a Správa železni</w:t>
      </w:r>
      <w:r w:rsidR="00C37E8B">
        <w:rPr>
          <w:rFonts w:asciiTheme="majorHAnsi" w:hAnsiTheme="majorHAnsi"/>
          <w:sz w:val="20"/>
          <w:szCs w:val="24"/>
        </w:rPr>
        <w:t>c</w:t>
      </w:r>
      <w:r w:rsidR="00880117">
        <w:rPr>
          <w:rFonts w:asciiTheme="majorHAnsi" w:hAnsiTheme="majorHAnsi"/>
          <w:sz w:val="20"/>
          <w:szCs w:val="24"/>
        </w:rPr>
        <w:t>,</w:t>
      </w:r>
      <w:r w:rsidR="00C37E8B">
        <w:rPr>
          <w:rFonts w:asciiTheme="majorHAnsi" w:hAnsiTheme="majorHAnsi"/>
          <w:sz w:val="20"/>
          <w:szCs w:val="24"/>
        </w:rPr>
        <w:t xml:space="preserve"> </w:t>
      </w:r>
      <w:r w:rsidRPr="003D7679">
        <w:rPr>
          <w:rFonts w:asciiTheme="majorHAnsi" w:hAnsiTheme="majorHAnsi"/>
          <w:sz w:val="20"/>
          <w:szCs w:val="24"/>
        </w:rPr>
        <w:t>státní organizace má právo hospodařit s majetkem státu.</w:t>
      </w:r>
    </w:p>
    <w:p w:rsidR="003D7679" w:rsidRPr="003D7679" w:rsidRDefault="003D7679" w:rsidP="003D7679">
      <w:pPr>
        <w:ind w:firstLine="360"/>
        <w:rPr>
          <w:rFonts w:asciiTheme="majorHAnsi" w:hAnsiTheme="majorHAnsi"/>
          <w:color w:val="FF0000"/>
          <w:sz w:val="20"/>
          <w:szCs w:val="24"/>
        </w:rPr>
      </w:pPr>
    </w:p>
    <w:p w:rsidR="00617A8A" w:rsidRPr="00BC5145" w:rsidRDefault="00BC5145" w:rsidP="00617A8A">
      <w:pPr>
        <w:spacing w:line="286" w:lineRule="atLeast"/>
        <w:rPr>
          <w:rFonts w:ascii="Verdana" w:hAnsi="Verdana"/>
          <w:sz w:val="20"/>
          <w:u w:val="single"/>
        </w:rPr>
      </w:pPr>
      <w:r w:rsidRPr="00BC5145">
        <w:rPr>
          <w:rFonts w:ascii="Verdana" w:hAnsi="Verdana"/>
          <w:sz w:val="20"/>
          <w:u w:val="single"/>
        </w:rPr>
        <w:t>Pozemek</w:t>
      </w:r>
    </w:p>
    <w:p w:rsidR="00BC5145" w:rsidRPr="00BC5145" w:rsidRDefault="00BC5145" w:rsidP="00BC5145">
      <w:pPr>
        <w:spacing w:line="286" w:lineRule="atLeast"/>
        <w:rPr>
          <w:rFonts w:ascii="Verdana" w:hAnsi="Verdana"/>
          <w:sz w:val="20"/>
        </w:rPr>
      </w:pPr>
      <w:r w:rsidRPr="00BC5145">
        <w:rPr>
          <w:rFonts w:ascii="Verdana" w:hAnsi="Verdana"/>
          <w:sz w:val="20"/>
        </w:rPr>
        <w:t>Parcelní číslo:</w:t>
      </w:r>
      <w:r w:rsidRPr="00BC5145">
        <w:rPr>
          <w:rFonts w:ascii="Verdana" w:hAnsi="Verdana"/>
          <w:sz w:val="20"/>
        </w:rPr>
        <w:tab/>
      </w:r>
      <w:r w:rsidRPr="00BC5145">
        <w:rPr>
          <w:rFonts w:ascii="Verdana" w:hAnsi="Verdana"/>
          <w:sz w:val="20"/>
        </w:rPr>
        <w:tab/>
        <w:t xml:space="preserve">451/1 </w:t>
      </w:r>
    </w:p>
    <w:p w:rsidR="00BC5145" w:rsidRPr="00BC5145" w:rsidRDefault="00BC5145" w:rsidP="00BC5145">
      <w:pPr>
        <w:spacing w:line="286" w:lineRule="atLeast"/>
        <w:rPr>
          <w:rFonts w:ascii="Verdana" w:hAnsi="Verdana"/>
          <w:sz w:val="20"/>
        </w:rPr>
      </w:pPr>
      <w:r w:rsidRPr="00BC5145">
        <w:rPr>
          <w:rFonts w:ascii="Verdana" w:hAnsi="Verdana"/>
          <w:sz w:val="20"/>
        </w:rPr>
        <w:t>Katastrální území:</w:t>
      </w:r>
      <w:r w:rsidRPr="00BC5145">
        <w:rPr>
          <w:rFonts w:ascii="Verdana" w:hAnsi="Verdana"/>
          <w:sz w:val="20"/>
        </w:rPr>
        <w:tab/>
        <w:t>Přívoz [713767],</w:t>
      </w:r>
    </w:p>
    <w:p w:rsidR="00BC5145" w:rsidRPr="00BC5145" w:rsidRDefault="00BC5145" w:rsidP="00BC5145">
      <w:pPr>
        <w:spacing w:line="286" w:lineRule="atLeast"/>
        <w:rPr>
          <w:rFonts w:ascii="Verdana" w:hAnsi="Verdana"/>
          <w:sz w:val="20"/>
        </w:rPr>
      </w:pPr>
    </w:p>
    <w:p w:rsidR="00BC5145" w:rsidRPr="00BC5145" w:rsidRDefault="00BC5145" w:rsidP="00BC5145">
      <w:pPr>
        <w:spacing w:line="286" w:lineRule="atLeast"/>
        <w:rPr>
          <w:rFonts w:ascii="Verdana" w:hAnsi="Verdana"/>
          <w:sz w:val="20"/>
        </w:rPr>
      </w:pPr>
      <w:r w:rsidRPr="00BC5145">
        <w:rPr>
          <w:rFonts w:ascii="Verdana" w:hAnsi="Verdana"/>
          <w:sz w:val="20"/>
        </w:rPr>
        <w:t>Vlastnické právo</w:t>
      </w:r>
      <w:r w:rsidRPr="00BC5145">
        <w:rPr>
          <w:rFonts w:ascii="Verdana" w:hAnsi="Verdana"/>
          <w:sz w:val="20"/>
        </w:rPr>
        <w:tab/>
        <w:t xml:space="preserve"> Česká republika,</w:t>
      </w:r>
      <w:r w:rsidRPr="00BC5145">
        <w:rPr>
          <w:rFonts w:ascii="Verdana" w:hAnsi="Verdana"/>
          <w:sz w:val="20"/>
        </w:rPr>
        <w:tab/>
      </w:r>
    </w:p>
    <w:p w:rsidR="00BC5145" w:rsidRPr="00BC5145" w:rsidRDefault="00BC5145" w:rsidP="00BC5145">
      <w:pPr>
        <w:spacing w:line="286" w:lineRule="atLeast"/>
        <w:rPr>
          <w:rFonts w:ascii="Verdana" w:hAnsi="Verdana"/>
          <w:sz w:val="20"/>
        </w:rPr>
      </w:pPr>
      <w:r w:rsidRPr="00BC5145">
        <w:rPr>
          <w:rFonts w:ascii="Verdana" w:hAnsi="Verdana"/>
          <w:sz w:val="20"/>
        </w:rPr>
        <w:t>Právo hospodařit s majetkem státu</w:t>
      </w:r>
    </w:p>
    <w:p w:rsidR="00BC5145" w:rsidRPr="00BC5145" w:rsidRDefault="00BC5145" w:rsidP="00BC5145">
      <w:pPr>
        <w:spacing w:line="286" w:lineRule="atLeast"/>
        <w:rPr>
          <w:rFonts w:ascii="Verdana" w:hAnsi="Verdana"/>
          <w:sz w:val="20"/>
        </w:rPr>
      </w:pPr>
      <w:r w:rsidRPr="00BC5145">
        <w:rPr>
          <w:rFonts w:ascii="Verdana" w:hAnsi="Verdana"/>
          <w:sz w:val="20"/>
        </w:rPr>
        <w:t>České dráhy, a.s., nábřeží Ludvíka Svobody 1222/12, Nové Město, 11000 Praha 1</w:t>
      </w:r>
    </w:p>
    <w:p w:rsidR="00C37E8B" w:rsidRP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</w:p>
    <w:p w:rsidR="00C37E8B" w:rsidRPr="003D7679" w:rsidRDefault="00C37E8B" w:rsidP="00C37E8B">
      <w:pPr>
        <w:spacing w:line="286" w:lineRule="atLeast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caps/>
          <w:sz w:val="20"/>
        </w:rPr>
      </w:pPr>
      <w:bookmarkStart w:id="11" w:name="_Toc355243117"/>
      <w:bookmarkStart w:id="12" w:name="_Toc47367922"/>
      <w:r w:rsidRPr="003D7679">
        <w:rPr>
          <w:bCs/>
          <w:caps/>
          <w:sz w:val="20"/>
        </w:rPr>
        <w:t>Vymezení rozsahu a obsahu stavby</w:t>
      </w:r>
      <w:bookmarkEnd w:id="11"/>
      <w:bookmarkEnd w:id="12"/>
    </w:p>
    <w:p w:rsidR="003D7679" w:rsidRPr="003D7679" w:rsidRDefault="003D7679" w:rsidP="003D7679">
      <w:pPr>
        <w:rPr>
          <w:rFonts w:asciiTheme="majorHAnsi" w:hAnsiTheme="majorHAnsi"/>
          <w:sz w:val="20"/>
          <w:szCs w:val="24"/>
        </w:rPr>
      </w:pPr>
    </w:p>
    <w:p w:rsidR="00C37E8B" w:rsidRDefault="00C37E8B" w:rsidP="00C37E8B">
      <w:pPr>
        <w:rPr>
          <w:rFonts w:asciiTheme="majorHAnsi" w:hAnsiTheme="majorHAnsi"/>
          <w:sz w:val="20"/>
          <w:szCs w:val="24"/>
        </w:rPr>
      </w:pPr>
      <w:r w:rsidRPr="00C37E8B">
        <w:rPr>
          <w:rFonts w:asciiTheme="majorHAnsi" w:hAnsiTheme="majorHAnsi"/>
          <w:sz w:val="20"/>
          <w:szCs w:val="24"/>
        </w:rPr>
        <w:t>Vymezení rozsahu je dáno projektovou dokumentací „</w:t>
      </w:r>
      <w:r w:rsidR="0066168A" w:rsidRPr="0066168A">
        <w:rPr>
          <w:rFonts w:asciiTheme="majorHAnsi" w:hAnsiTheme="majorHAnsi"/>
          <w:sz w:val="20"/>
          <w:szCs w:val="24"/>
        </w:rPr>
        <w:t>1.</w:t>
      </w:r>
      <w:r w:rsidR="0066168A" w:rsidRPr="0066168A">
        <w:rPr>
          <w:rFonts w:asciiTheme="majorHAnsi" w:hAnsiTheme="majorHAnsi"/>
          <w:sz w:val="20"/>
          <w:szCs w:val="24"/>
        </w:rPr>
        <w:tab/>
        <w:t>PD - Oprava osvětlovacích věží Ostrava (O.levé n. a OMH)</w:t>
      </w:r>
      <w:r w:rsidR="00617A8A">
        <w:rPr>
          <w:rFonts w:asciiTheme="majorHAnsi" w:hAnsiTheme="majorHAnsi"/>
          <w:sz w:val="20"/>
          <w:szCs w:val="24"/>
        </w:rPr>
        <w:t>“.</w:t>
      </w:r>
      <w:r>
        <w:rPr>
          <w:rFonts w:asciiTheme="majorHAnsi" w:hAnsiTheme="majorHAnsi"/>
          <w:sz w:val="20"/>
          <w:szCs w:val="24"/>
        </w:rPr>
        <w:t xml:space="preserve"> Tato projektová dokumentace je zpracována</w:t>
      </w:r>
      <w:r w:rsidRPr="00C37E8B">
        <w:rPr>
          <w:rFonts w:asciiTheme="majorHAnsi" w:hAnsiTheme="majorHAnsi"/>
          <w:sz w:val="20"/>
          <w:szCs w:val="24"/>
        </w:rPr>
        <w:t xml:space="preserve"> v rozsahu jako realizační, stupeň „PROJEKT“ a definují konkrétní sta</w:t>
      </w:r>
      <w:bookmarkStart w:id="13" w:name="_GoBack"/>
      <w:bookmarkEnd w:id="13"/>
      <w:r w:rsidRPr="00C37E8B">
        <w:rPr>
          <w:rFonts w:asciiTheme="majorHAnsi" w:hAnsiTheme="majorHAnsi"/>
          <w:sz w:val="20"/>
          <w:szCs w:val="24"/>
        </w:rPr>
        <w:t xml:space="preserve">vební práce a jednotlivé stavební postupy. </w:t>
      </w:r>
    </w:p>
    <w:p w:rsidR="00C37E8B" w:rsidRPr="00C37E8B" w:rsidRDefault="00C37E8B" w:rsidP="00C37E8B">
      <w:pPr>
        <w:rPr>
          <w:rFonts w:asciiTheme="majorHAnsi" w:hAnsiTheme="majorHAnsi"/>
          <w:sz w:val="20"/>
          <w:szCs w:val="24"/>
        </w:rPr>
      </w:pPr>
      <w:r w:rsidRPr="00C37E8B">
        <w:rPr>
          <w:rFonts w:asciiTheme="majorHAnsi" w:hAnsiTheme="majorHAnsi"/>
          <w:sz w:val="20"/>
          <w:szCs w:val="24"/>
        </w:rPr>
        <w:t xml:space="preserve">Stavba je členěna na objekt: </w:t>
      </w:r>
    </w:p>
    <w:p w:rsidR="00C37E8B" w:rsidRPr="00C37E8B" w:rsidRDefault="00C37E8B" w:rsidP="00C37E8B">
      <w:pPr>
        <w:rPr>
          <w:rFonts w:asciiTheme="majorHAnsi" w:hAnsiTheme="majorHAnsi"/>
          <w:sz w:val="20"/>
          <w:szCs w:val="24"/>
        </w:rPr>
      </w:pPr>
    </w:p>
    <w:p w:rsidR="0066168A" w:rsidRDefault="0066168A" w:rsidP="0066168A">
      <w:pPr>
        <w:ind w:left="720"/>
        <w:rPr>
          <w:rFonts w:asciiTheme="majorHAnsi" w:hAnsiTheme="majorHAnsi"/>
          <w:sz w:val="20"/>
        </w:rPr>
      </w:pPr>
      <w:r w:rsidRPr="0066168A">
        <w:rPr>
          <w:rFonts w:asciiTheme="majorHAnsi" w:hAnsiTheme="majorHAnsi"/>
          <w:sz w:val="20"/>
        </w:rPr>
        <w:t>SO 03 - Oprava osvětlovacích věží 1ONV-9ONV</w:t>
      </w:r>
    </w:p>
    <w:p w:rsidR="009A55E6" w:rsidRDefault="009A55E6" w:rsidP="00C37E8B">
      <w:pPr>
        <w:rPr>
          <w:rFonts w:asciiTheme="majorHAnsi" w:hAnsiTheme="majorHAnsi"/>
          <w:sz w:val="20"/>
          <w:szCs w:val="24"/>
        </w:rPr>
      </w:pPr>
    </w:p>
    <w:p w:rsidR="0058664B" w:rsidRPr="0058664B" w:rsidRDefault="0058664B" w:rsidP="00C37E8B">
      <w:pPr>
        <w:rPr>
          <w:rFonts w:asciiTheme="majorHAnsi" w:hAnsiTheme="majorHAnsi"/>
          <w:i/>
          <w:sz w:val="20"/>
          <w:szCs w:val="24"/>
        </w:rPr>
      </w:pPr>
      <w:r w:rsidRPr="0058664B">
        <w:rPr>
          <w:rFonts w:asciiTheme="majorHAnsi" w:hAnsiTheme="majorHAnsi"/>
          <w:i/>
          <w:sz w:val="20"/>
          <w:szCs w:val="24"/>
        </w:rPr>
        <w:t xml:space="preserve">Pozn.: pro potřeby zadávacího řízení jsou stavební práce děleny na stavební objekty dva, a to: </w:t>
      </w:r>
    </w:p>
    <w:p w:rsidR="0058664B" w:rsidRPr="0058664B" w:rsidRDefault="0058664B" w:rsidP="00C37E8B">
      <w:pPr>
        <w:rPr>
          <w:rFonts w:asciiTheme="majorHAnsi" w:hAnsiTheme="majorHAnsi"/>
          <w:i/>
          <w:sz w:val="20"/>
          <w:szCs w:val="24"/>
        </w:rPr>
      </w:pPr>
    </w:p>
    <w:p w:rsidR="0058664B" w:rsidRPr="0058664B" w:rsidRDefault="0058664B" w:rsidP="00C37E8B">
      <w:pPr>
        <w:rPr>
          <w:rFonts w:asciiTheme="majorHAnsi" w:hAnsiTheme="majorHAnsi"/>
          <w:i/>
          <w:sz w:val="20"/>
        </w:rPr>
      </w:pPr>
      <w:r w:rsidRPr="0058664B">
        <w:rPr>
          <w:rFonts w:asciiTheme="majorHAnsi" w:hAnsiTheme="majorHAnsi"/>
          <w:i/>
          <w:sz w:val="20"/>
        </w:rPr>
        <w:t xml:space="preserve">SO 03 </w:t>
      </w:r>
      <w:r w:rsidRPr="0058664B">
        <w:rPr>
          <w:rFonts w:asciiTheme="majorHAnsi" w:hAnsiTheme="majorHAnsi"/>
          <w:i/>
          <w:sz w:val="20"/>
        </w:rPr>
        <w:tab/>
      </w:r>
      <w:r w:rsidRPr="0058664B">
        <w:rPr>
          <w:rFonts w:asciiTheme="majorHAnsi" w:hAnsiTheme="majorHAnsi"/>
          <w:i/>
          <w:sz w:val="20"/>
        </w:rPr>
        <w:tab/>
      </w:r>
      <w:r w:rsidRPr="0058664B">
        <w:rPr>
          <w:rFonts w:asciiTheme="majorHAnsi" w:hAnsiTheme="majorHAnsi"/>
          <w:i/>
          <w:sz w:val="20"/>
        </w:rPr>
        <w:t>Oprava osvětlovacích věží 1ONV-9ONV</w:t>
      </w:r>
    </w:p>
    <w:p w:rsidR="0058664B" w:rsidRDefault="0058664B" w:rsidP="00C37E8B">
      <w:pPr>
        <w:rPr>
          <w:rFonts w:asciiTheme="majorHAnsi" w:hAnsiTheme="majorHAnsi"/>
          <w:sz w:val="20"/>
          <w:szCs w:val="24"/>
        </w:rPr>
      </w:pPr>
      <w:r w:rsidRPr="0058664B">
        <w:rPr>
          <w:rFonts w:asciiTheme="majorHAnsi" w:hAnsiTheme="majorHAnsi"/>
          <w:i/>
          <w:sz w:val="20"/>
        </w:rPr>
        <w:t>SO 03</w:t>
      </w:r>
      <w:r w:rsidRPr="0058664B">
        <w:rPr>
          <w:rFonts w:asciiTheme="majorHAnsi" w:hAnsiTheme="majorHAnsi"/>
          <w:i/>
          <w:sz w:val="20"/>
        </w:rPr>
        <w:t xml:space="preserve">-ZP  </w:t>
      </w:r>
      <w:r w:rsidRPr="0058664B">
        <w:rPr>
          <w:rFonts w:asciiTheme="majorHAnsi" w:hAnsiTheme="majorHAnsi"/>
          <w:i/>
          <w:sz w:val="20"/>
        </w:rPr>
        <w:tab/>
        <w:t>Zemní práce věže 10NV-90NV</w:t>
      </w:r>
    </w:p>
    <w:p w:rsidR="0058664B" w:rsidRDefault="0058664B" w:rsidP="00C37E8B">
      <w:pPr>
        <w:rPr>
          <w:rFonts w:asciiTheme="majorHAnsi" w:hAnsiTheme="majorHAnsi"/>
          <w:sz w:val="20"/>
          <w:szCs w:val="24"/>
        </w:rPr>
      </w:pPr>
    </w:p>
    <w:p w:rsidR="00D6320C" w:rsidRDefault="0066168A" w:rsidP="00C37E8B">
      <w:pPr>
        <w:rPr>
          <w:rFonts w:asciiTheme="majorHAnsi" w:hAnsiTheme="majorHAnsi"/>
          <w:sz w:val="20"/>
          <w:szCs w:val="24"/>
        </w:rPr>
      </w:pPr>
      <w:r w:rsidRPr="0066168A">
        <w:rPr>
          <w:rFonts w:asciiTheme="majorHAnsi" w:hAnsiTheme="majorHAnsi"/>
          <w:sz w:val="20"/>
          <w:szCs w:val="24"/>
        </w:rPr>
        <w:t xml:space="preserve">Obsahem stavby je výměna svítidel, rozvaděčů a kabeláže na vybraných osvětlovacích věžích řady </w:t>
      </w:r>
      <w:r>
        <w:rPr>
          <w:rFonts w:asciiTheme="majorHAnsi" w:hAnsiTheme="majorHAnsi"/>
          <w:sz w:val="20"/>
          <w:szCs w:val="24"/>
        </w:rPr>
        <w:t>ONV</w:t>
      </w:r>
      <w:r w:rsidRPr="0066168A">
        <w:rPr>
          <w:rFonts w:asciiTheme="majorHAnsi" w:hAnsiTheme="majorHAnsi"/>
          <w:sz w:val="20"/>
          <w:szCs w:val="24"/>
        </w:rPr>
        <w:t xml:space="preserve"> v žst. Ostrava hl.n.  Konkrétně jde o věže OV 1</w:t>
      </w:r>
      <w:r>
        <w:rPr>
          <w:rFonts w:asciiTheme="majorHAnsi" w:hAnsiTheme="majorHAnsi"/>
          <w:sz w:val="20"/>
          <w:szCs w:val="24"/>
        </w:rPr>
        <w:t>A</w:t>
      </w:r>
      <w:r w:rsidR="00BC5145">
        <w:rPr>
          <w:rFonts w:asciiTheme="majorHAnsi" w:hAnsiTheme="majorHAnsi"/>
          <w:sz w:val="20"/>
          <w:szCs w:val="24"/>
        </w:rPr>
        <w:t xml:space="preserve"> ONV</w:t>
      </w:r>
      <w:r>
        <w:rPr>
          <w:rFonts w:asciiTheme="majorHAnsi" w:hAnsiTheme="majorHAnsi"/>
          <w:sz w:val="20"/>
          <w:szCs w:val="24"/>
        </w:rPr>
        <w:t>, 1B</w:t>
      </w:r>
      <w:r w:rsidR="00BC5145">
        <w:rPr>
          <w:rFonts w:asciiTheme="majorHAnsi" w:hAnsiTheme="majorHAnsi"/>
          <w:sz w:val="20"/>
          <w:szCs w:val="24"/>
        </w:rPr>
        <w:t xml:space="preserve"> ONV</w:t>
      </w:r>
      <w:r>
        <w:rPr>
          <w:rFonts w:asciiTheme="majorHAnsi" w:hAnsiTheme="majorHAnsi"/>
          <w:sz w:val="20"/>
          <w:szCs w:val="24"/>
        </w:rPr>
        <w:t>,  OV1 ONV</w:t>
      </w:r>
      <w:r w:rsidRPr="0066168A">
        <w:rPr>
          <w:rFonts w:asciiTheme="majorHAnsi" w:hAnsiTheme="majorHAnsi"/>
          <w:sz w:val="20"/>
          <w:szCs w:val="24"/>
        </w:rPr>
        <w:t xml:space="preserve">,  </w:t>
      </w:r>
      <w:r>
        <w:rPr>
          <w:rFonts w:asciiTheme="majorHAnsi" w:hAnsiTheme="majorHAnsi"/>
          <w:sz w:val="20"/>
          <w:szCs w:val="24"/>
        </w:rPr>
        <w:t>OV2 ONV, OV3 ONV,</w:t>
      </w:r>
      <w:r w:rsidRPr="0066168A">
        <w:rPr>
          <w:rFonts w:asciiTheme="majorHAnsi" w:hAnsiTheme="majorHAnsi"/>
          <w:sz w:val="20"/>
          <w:szCs w:val="24"/>
        </w:rPr>
        <w:t xml:space="preserve"> </w:t>
      </w:r>
      <w:r>
        <w:rPr>
          <w:rFonts w:asciiTheme="majorHAnsi" w:hAnsiTheme="majorHAnsi"/>
          <w:sz w:val="20"/>
          <w:szCs w:val="24"/>
        </w:rPr>
        <w:t>OV4 ONV,</w:t>
      </w:r>
      <w:r w:rsidRPr="0066168A">
        <w:rPr>
          <w:rFonts w:asciiTheme="majorHAnsi" w:hAnsiTheme="majorHAnsi"/>
          <w:sz w:val="20"/>
          <w:szCs w:val="24"/>
        </w:rPr>
        <w:t xml:space="preserve"> </w:t>
      </w:r>
      <w:r>
        <w:rPr>
          <w:rFonts w:asciiTheme="majorHAnsi" w:hAnsiTheme="majorHAnsi"/>
          <w:sz w:val="20"/>
          <w:szCs w:val="24"/>
        </w:rPr>
        <w:t>OV5 ONV, OV6 ONV, OV7 ONV, OV8 ONV, OV9 ONV</w:t>
      </w:r>
      <w:r w:rsidR="00D6320C">
        <w:rPr>
          <w:rFonts w:asciiTheme="majorHAnsi" w:hAnsiTheme="majorHAnsi"/>
          <w:sz w:val="20"/>
          <w:szCs w:val="24"/>
        </w:rPr>
        <w:t>.</w:t>
      </w:r>
      <w:r>
        <w:rPr>
          <w:rFonts w:asciiTheme="majorHAnsi" w:hAnsiTheme="majorHAnsi"/>
          <w:sz w:val="20"/>
          <w:szCs w:val="24"/>
        </w:rPr>
        <w:t xml:space="preserve"> </w:t>
      </w:r>
      <w:r w:rsidRPr="0066168A">
        <w:rPr>
          <w:rFonts w:asciiTheme="majorHAnsi" w:hAnsiTheme="majorHAnsi"/>
          <w:sz w:val="20"/>
          <w:szCs w:val="24"/>
        </w:rPr>
        <w:t>Světlomety budou napojeny novými silikonovými kabely odolnými proti UV záření z nové přechodové skříně PS. Dále budou nově instalovány kabely z rozvaděčů ROV do přechodových skříní PS, včetně nových rozvaděčů OV.</w:t>
      </w:r>
      <w:r>
        <w:rPr>
          <w:rFonts w:asciiTheme="majorHAnsi" w:hAnsiTheme="majorHAnsi"/>
          <w:sz w:val="20"/>
          <w:szCs w:val="24"/>
        </w:rPr>
        <w:t xml:space="preserve"> Bude provedena oprava betonových patek základů, zabezpečení vstupu na výlez a obnova bezpečnostního nátěru.</w:t>
      </w:r>
    </w:p>
    <w:p w:rsidR="00D6320C" w:rsidRDefault="00D6320C" w:rsidP="00C37E8B">
      <w:pPr>
        <w:rPr>
          <w:rFonts w:asciiTheme="majorHAnsi" w:hAnsiTheme="majorHAnsi"/>
          <w:sz w:val="20"/>
          <w:szCs w:val="24"/>
        </w:rPr>
      </w:pPr>
    </w:p>
    <w:p w:rsidR="003D7679" w:rsidRPr="003D7679" w:rsidRDefault="00C37E8B" w:rsidP="00C37E8B">
      <w:pPr>
        <w:rPr>
          <w:rFonts w:asciiTheme="majorHAnsi" w:hAnsiTheme="majorHAnsi"/>
          <w:sz w:val="20"/>
          <w:szCs w:val="24"/>
        </w:rPr>
      </w:pPr>
      <w:r w:rsidRPr="00C37E8B">
        <w:rPr>
          <w:rFonts w:asciiTheme="majorHAnsi" w:hAnsiTheme="majorHAnsi"/>
          <w:sz w:val="20"/>
          <w:szCs w:val="24"/>
        </w:rPr>
        <w:t>Místo plnění je vymezeno projektovou dokumentací.</w:t>
      </w:r>
    </w:p>
    <w:p w:rsidR="003D7679" w:rsidRPr="003D7679" w:rsidRDefault="003D7679" w:rsidP="003D7679">
      <w:pPr>
        <w:ind w:left="1080" w:hanging="1080"/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caps/>
          <w:sz w:val="20"/>
        </w:rPr>
      </w:pPr>
      <w:bookmarkStart w:id="14" w:name="_Toc355243118"/>
      <w:bookmarkStart w:id="15" w:name="_Toc47367923"/>
      <w:r w:rsidRPr="003D7679">
        <w:rPr>
          <w:bCs/>
          <w:caps/>
          <w:sz w:val="20"/>
        </w:rPr>
        <w:t>Bezpečnostní normy a předpisy</w:t>
      </w:r>
      <w:bookmarkEnd w:id="14"/>
      <w:bookmarkEnd w:id="15"/>
    </w:p>
    <w:p w:rsidR="003D7679" w:rsidRPr="003D7679" w:rsidRDefault="003D7679" w:rsidP="003D7679">
      <w:pPr>
        <w:ind w:left="1080" w:hanging="1080"/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 xml:space="preserve">Před zahájením montážních prací musí být zaměstnanci montážní organizace prokazatelně proškoleni z příslušných norem, předpisů a musí se dodržovat veškerá </w:t>
      </w:r>
      <w:r w:rsidRPr="003D7679">
        <w:rPr>
          <w:rFonts w:asciiTheme="majorHAnsi" w:hAnsiTheme="majorHAnsi"/>
          <w:sz w:val="20"/>
          <w:szCs w:val="24"/>
        </w:rPr>
        <w:lastRenderedPageBreak/>
        <w:t>bezpečnostní opatření v souladu s ČSN EN 50110-1 ed. 3,</w:t>
      </w:r>
      <w:r w:rsidRPr="003D7679">
        <w:rPr>
          <w:rFonts w:asciiTheme="majorHAnsi" w:hAnsiTheme="majorHAnsi" w:cs="Arial"/>
          <w:color w:val="545454"/>
          <w:sz w:val="20"/>
          <w:shd w:val="clear" w:color="auto" w:fill="FFFFFF"/>
        </w:rPr>
        <w:t xml:space="preserve"> </w:t>
      </w:r>
      <w:r w:rsidRPr="003D7679">
        <w:rPr>
          <w:rFonts w:asciiTheme="majorHAnsi" w:hAnsiTheme="majorHAnsi"/>
          <w:sz w:val="20"/>
          <w:szCs w:val="24"/>
        </w:rPr>
        <w:t xml:space="preserve">ČSN 33 2000-4-41 ed.2, provozních předpisů provozovatele a ostatních norem přidružených. </w:t>
      </w: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 xml:space="preserve">V oblasti prováděných prací musí být zajištěn beznapěťový stav. V případě nutnosti musí být pracoviště příslušně vymezeno a opatřeno výstrahami. Při práci se musí používat ochranné a pracovní pomůcky v souladu s ČSN. Na pracovišti musí být rovněž zajištěna a příslušně označená nouzová cesta úniku. </w:t>
      </w: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Dodržování veškerých bezpečnostních předpisů v souladu s ČSN musí kontrolovat investor, provozovatel a montážní organizace.</w:t>
      </w: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 xml:space="preserve">K zajištění bezpečnosti a ochrany zdraví při práci v obvodu dráhy je třeba respektovat předpis SŽDC Bp 1 Předpis o bezpečnosti a ochraně zdraví při práci.     </w:t>
      </w:r>
    </w:p>
    <w:p w:rsidR="003D7679" w:rsidRPr="003D7679" w:rsidRDefault="003D7679" w:rsidP="003D7679">
      <w:pPr>
        <w:pStyle w:val="Zkladntext"/>
        <w:rPr>
          <w:rFonts w:asciiTheme="majorHAnsi" w:hAnsiTheme="majorHAnsi"/>
          <w:sz w:val="20"/>
          <w:szCs w:val="24"/>
        </w:rPr>
      </w:pPr>
    </w:p>
    <w:p w:rsidR="003D7679" w:rsidRPr="003D7679" w:rsidRDefault="003D7679" w:rsidP="003D7679">
      <w:pPr>
        <w:pStyle w:val="Zkladntext"/>
        <w:ind w:firstLine="284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Zaměstnanci zhotovitele budou mít předepsanou odbornou a zdravotní způsobilost v souladu s drážními předpisy:</w:t>
      </w:r>
    </w:p>
    <w:p w:rsidR="003D7679" w:rsidRPr="003D7679" w:rsidRDefault="003D7679" w:rsidP="003D7679">
      <w:pPr>
        <w:pStyle w:val="Zkladntext"/>
        <w:ind w:left="567" w:hanging="283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a/</w:t>
      </w:r>
      <w:r w:rsidRPr="003D7679">
        <w:rPr>
          <w:rFonts w:asciiTheme="majorHAnsi" w:hAnsiTheme="majorHAnsi"/>
          <w:sz w:val="20"/>
          <w:szCs w:val="24"/>
        </w:rPr>
        <w:tab/>
        <w:t>Vedoucí práce bude s kvalifikací pracovník znalý s vyšší kvalifikací pro dodavatelskou činnost dle vyhl. č. 100/1995. Tento pracovník bude mít také příslušnou zkoušku řady E dle směrnice SŽDC Zam1.</w:t>
      </w:r>
    </w:p>
    <w:p w:rsidR="003D7679" w:rsidRPr="003D7679" w:rsidRDefault="003D7679" w:rsidP="003D7679">
      <w:pPr>
        <w:pStyle w:val="Zkladntext"/>
        <w:ind w:left="567" w:hanging="283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b/ Elektromontéři budou mít příslušnou kvalifikaci dle vyhl. č.100/1995Sb. Musí být zdravotně způsobilí pro vykonávání své pracovní činnosti dle v době realizace platných právních předpisů.</w:t>
      </w:r>
    </w:p>
    <w:p w:rsidR="003D7679" w:rsidRPr="003D7679" w:rsidRDefault="003D7679" w:rsidP="003D7679">
      <w:pPr>
        <w:ind w:left="1080" w:hanging="1080"/>
        <w:rPr>
          <w:rFonts w:asciiTheme="majorHAnsi" w:hAnsiTheme="majorHAnsi"/>
          <w:sz w:val="20"/>
          <w:szCs w:val="24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Přehled základních norem je uveden v příloze č.5 vyhlášky Ministerstva dopravy č. 177/1995 Sb., kterou se vydává stavební a technický řád drah, v platném znění.</w:t>
      </w:r>
    </w:p>
    <w:p w:rsidR="003D7679" w:rsidRPr="003D7679" w:rsidRDefault="003D7679" w:rsidP="003D7679">
      <w:pPr>
        <w:rPr>
          <w:rFonts w:asciiTheme="majorHAnsi" w:hAnsiTheme="majorHAnsi"/>
          <w:sz w:val="20"/>
          <w:szCs w:val="22"/>
        </w:rPr>
      </w:pPr>
      <w:r w:rsidRPr="003D7679">
        <w:rPr>
          <w:rFonts w:asciiTheme="majorHAnsi" w:hAnsiTheme="majorHAnsi"/>
          <w:sz w:val="20"/>
          <w:szCs w:val="24"/>
        </w:rPr>
        <w:t>Přehled závazných technických norem a předpisů je vymezen v platném znění TKP.</w:t>
      </w:r>
      <w:bookmarkEnd w:id="8"/>
    </w:p>
    <w:p w:rsidR="009F392E" w:rsidRPr="003D7679" w:rsidRDefault="009F392E" w:rsidP="003D7679">
      <w:pPr>
        <w:rPr>
          <w:rFonts w:asciiTheme="majorHAnsi" w:hAnsiTheme="majorHAnsi"/>
          <w:sz w:val="20"/>
        </w:rPr>
      </w:pPr>
    </w:p>
    <w:sectPr w:rsidR="009F392E" w:rsidRPr="003D767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B1F" w:rsidRDefault="00063B1F" w:rsidP="00962258">
      <w:r>
        <w:separator/>
      </w:r>
    </w:p>
  </w:endnote>
  <w:endnote w:type="continuationSeparator" w:id="0">
    <w:p w:rsidR="00063B1F" w:rsidRDefault="00063B1F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1A0D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664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58664B">
            <w:fldChar w:fldCharType="begin"/>
          </w:r>
          <w:r w:rsidR="0058664B">
            <w:instrText xml:space="preserve"> NUMPAGES   \* MERGEFORMAT </w:instrText>
          </w:r>
          <w:r w:rsidR="0058664B">
            <w:fldChar w:fldCharType="separate"/>
          </w:r>
          <w:r w:rsidR="0058664B" w:rsidRPr="0058664B">
            <w:rPr>
              <w:rStyle w:val="slostrnky"/>
              <w:noProof/>
            </w:rPr>
            <w:t>4</w:t>
          </w:r>
          <w:r w:rsidR="0058664B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58664B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w:pict>
        <v:line id="Straight Connector 3" o:spid="_x0000_s12292" style="position:absolute;left:0;text-align:left;z-index:-25165414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</w:rPr>
      <w:pict>
        <v:line id="Straight Connector 2" o:spid="_x0000_s12291" style="position:absolute;left:0;text-align:left;z-index:-25165619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D68B6" w:rsidRPr="004D68B6" w:rsidTr="00CF032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D68B6" w:rsidRPr="004D68B6" w:rsidRDefault="004D68B6" w:rsidP="004D68B6">
          <w:pPr>
            <w:pStyle w:val="Zpat"/>
            <w:rPr>
              <w:rStyle w:val="slostrnky"/>
              <w:rFonts w:asciiTheme="minorHAnsi" w:hAnsiTheme="minorHAnsi"/>
            </w:rPr>
          </w:pPr>
          <w:r w:rsidRPr="004D68B6">
            <w:rPr>
              <w:rStyle w:val="slostrnky"/>
              <w:rFonts w:asciiTheme="minorHAnsi" w:hAnsiTheme="minorHAnsi"/>
            </w:rPr>
            <w:fldChar w:fldCharType="begin"/>
          </w:r>
          <w:r w:rsidRPr="004D68B6">
            <w:rPr>
              <w:rStyle w:val="slostrnky"/>
              <w:rFonts w:asciiTheme="minorHAnsi" w:hAnsiTheme="minorHAnsi"/>
            </w:rPr>
            <w:instrText>PAGE   \* MERGEFORMAT</w:instrText>
          </w:r>
          <w:r w:rsidRPr="004D68B6">
            <w:rPr>
              <w:rStyle w:val="slostrnky"/>
              <w:rFonts w:asciiTheme="minorHAnsi" w:hAnsiTheme="minorHAnsi"/>
            </w:rPr>
            <w:fldChar w:fldCharType="separate"/>
          </w:r>
          <w:r w:rsidR="0058664B">
            <w:rPr>
              <w:rStyle w:val="slostrnky"/>
              <w:rFonts w:asciiTheme="minorHAnsi" w:hAnsiTheme="minorHAnsi"/>
              <w:noProof/>
            </w:rPr>
            <w:t>1</w:t>
          </w:r>
          <w:r w:rsidRPr="004D68B6">
            <w:rPr>
              <w:rStyle w:val="slostrnky"/>
              <w:rFonts w:asciiTheme="minorHAnsi" w:hAnsiTheme="minorHAnsi"/>
            </w:rPr>
            <w:fldChar w:fldCharType="end"/>
          </w:r>
          <w:r w:rsidRPr="004D68B6">
            <w:rPr>
              <w:rStyle w:val="slostrnky"/>
              <w:rFonts w:asciiTheme="minorHAnsi" w:hAnsiTheme="minorHAnsi"/>
            </w:rPr>
            <w:t>/</w:t>
          </w:r>
          <w:r w:rsidRPr="004D68B6">
            <w:fldChar w:fldCharType="begin"/>
          </w:r>
          <w:r w:rsidRPr="004D68B6">
            <w:rPr>
              <w:rFonts w:asciiTheme="minorHAnsi" w:hAnsiTheme="minorHAnsi"/>
            </w:rPr>
            <w:instrText xml:space="preserve"> NUMPAGES   \* MERGEFORMAT </w:instrText>
          </w:r>
          <w:r w:rsidRPr="004D68B6">
            <w:fldChar w:fldCharType="separate"/>
          </w:r>
          <w:r w:rsidR="0058664B" w:rsidRPr="0058664B">
            <w:rPr>
              <w:rStyle w:val="slostrnky"/>
              <w:noProof/>
            </w:rPr>
            <w:t>4</w:t>
          </w:r>
          <w:r w:rsidRPr="004D68B6">
            <w:rPr>
              <w:rStyle w:val="slostrnky"/>
              <w:rFonts w:asciiTheme="minorHAnsi" w:hAnsiTheme="minorHAnsi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D68B6" w:rsidRPr="004D68B6" w:rsidRDefault="004D68B6" w:rsidP="004D68B6">
          <w:pPr>
            <w:pStyle w:val="Zpat"/>
            <w:jc w:val="left"/>
            <w:rPr>
              <w:rFonts w:asciiTheme="minorHAnsi" w:hAnsiTheme="minorHAnsi"/>
            </w:rPr>
          </w:pPr>
          <w:r w:rsidRPr="004D68B6">
            <w:rPr>
              <w:rFonts w:asciiTheme="minorHAnsi" w:hAnsiTheme="minorHAnsi"/>
            </w:rPr>
            <w:t>Správa železnic, státní organizace</w:t>
          </w:r>
        </w:p>
        <w:p w:rsidR="004D68B6" w:rsidRPr="004D68B6" w:rsidRDefault="004D68B6" w:rsidP="004D68B6">
          <w:pPr>
            <w:pStyle w:val="Zpat"/>
            <w:jc w:val="left"/>
            <w:rPr>
              <w:rFonts w:asciiTheme="minorHAnsi" w:hAnsiTheme="minorHAnsi"/>
            </w:rPr>
          </w:pPr>
          <w:r w:rsidRPr="004D68B6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D68B6" w:rsidRPr="004D68B6" w:rsidRDefault="004D68B6" w:rsidP="004D68B6">
          <w:pPr>
            <w:pStyle w:val="Zpat"/>
            <w:rPr>
              <w:rFonts w:asciiTheme="minorHAnsi" w:hAnsiTheme="minorHAnsi"/>
            </w:rPr>
          </w:pPr>
          <w:r w:rsidRPr="004D68B6">
            <w:rPr>
              <w:rFonts w:asciiTheme="minorHAnsi" w:hAnsiTheme="minorHAnsi"/>
            </w:rPr>
            <w:t>Sídlo: Dlážděná 1003/7, 110 00 Praha 1</w:t>
          </w:r>
        </w:p>
        <w:p w:rsidR="004D68B6" w:rsidRPr="004D68B6" w:rsidRDefault="004D68B6" w:rsidP="004D68B6">
          <w:pPr>
            <w:pStyle w:val="Zpat"/>
            <w:rPr>
              <w:rFonts w:asciiTheme="minorHAnsi" w:hAnsiTheme="minorHAnsi"/>
            </w:rPr>
          </w:pPr>
          <w:r w:rsidRPr="004D68B6">
            <w:rPr>
              <w:rFonts w:asciiTheme="minorHAnsi" w:hAnsiTheme="minorHAnsi"/>
            </w:rPr>
            <w:t>IČ: 709 94 234 DIČ: CZ 709 94 234</w:t>
          </w:r>
        </w:p>
        <w:p w:rsidR="004D68B6" w:rsidRPr="004D68B6" w:rsidRDefault="004D68B6" w:rsidP="004D68B6">
          <w:pPr>
            <w:pStyle w:val="Zpat"/>
            <w:rPr>
              <w:rFonts w:asciiTheme="minorHAnsi" w:hAnsiTheme="minorHAnsi"/>
            </w:rPr>
          </w:pPr>
          <w:r w:rsidRPr="004D68B6">
            <w:rPr>
              <w:rFonts w:asciiTheme="minorHAnsi" w:hAnsiTheme="minorHAnsi"/>
            </w:rPr>
            <w:t>www.spravazeleznic.cz</w:t>
          </w:r>
        </w:p>
      </w:tc>
      <w:tc>
        <w:tcPr>
          <w:tcW w:w="2921" w:type="dxa"/>
        </w:tcPr>
        <w:p w:rsidR="004D68B6" w:rsidRPr="004D68B6" w:rsidRDefault="004D68B6" w:rsidP="004D68B6">
          <w:pPr>
            <w:pStyle w:val="Zpat"/>
            <w:rPr>
              <w:rFonts w:asciiTheme="minorHAnsi" w:hAnsiTheme="minorHAnsi"/>
              <w:b/>
            </w:rPr>
          </w:pPr>
          <w:r w:rsidRPr="004D68B6">
            <w:rPr>
              <w:rFonts w:asciiTheme="minorHAnsi" w:hAnsiTheme="minorHAnsi"/>
              <w:b/>
            </w:rPr>
            <w:t>Oblastní ředitelství Ostrava</w:t>
          </w:r>
        </w:p>
        <w:p w:rsidR="004D68B6" w:rsidRPr="004D68B6" w:rsidRDefault="004D68B6" w:rsidP="004D68B6">
          <w:pPr>
            <w:pStyle w:val="Zpat"/>
            <w:rPr>
              <w:rFonts w:asciiTheme="minorHAnsi" w:hAnsiTheme="minorHAnsi"/>
              <w:b/>
            </w:rPr>
          </w:pPr>
          <w:r w:rsidRPr="004D68B6">
            <w:rPr>
              <w:rFonts w:asciiTheme="minorHAnsi" w:hAnsiTheme="minorHAnsi"/>
              <w:b/>
            </w:rPr>
            <w:t>Muglinovská 1038/5</w:t>
          </w:r>
        </w:p>
        <w:p w:rsidR="004D68B6" w:rsidRPr="004D68B6" w:rsidRDefault="004D68B6" w:rsidP="004D68B6">
          <w:pPr>
            <w:pStyle w:val="Zpat"/>
            <w:rPr>
              <w:rFonts w:asciiTheme="minorHAnsi" w:hAnsiTheme="minorHAnsi"/>
            </w:rPr>
          </w:pPr>
          <w:r w:rsidRPr="004D68B6">
            <w:rPr>
              <w:rFonts w:asciiTheme="minorHAnsi" w:hAnsiTheme="minorHAnsi"/>
              <w:b/>
            </w:rPr>
            <w:t>702 00 Ostrava</w:t>
          </w:r>
        </w:p>
      </w:tc>
    </w:tr>
  </w:tbl>
  <w:p w:rsidR="004D68B6" w:rsidRPr="004D68B6" w:rsidRDefault="0058664B" w:rsidP="004D68B6">
    <w:pPr>
      <w:pStyle w:val="Zpat"/>
      <w:rPr>
        <w:rFonts w:asciiTheme="minorHAnsi" w:hAnsiTheme="minorHAnsi"/>
        <w:sz w:val="2"/>
        <w:szCs w:val="2"/>
      </w:rPr>
    </w:pPr>
    <w:r>
      <w:rPr>
        <w:rFonts w:asciiTheme="minorHAnsi" w:hAnsiTheme="minorHAnsi"/>
        <w:noProof/>
        <w:sz w:val="2"/>
        <w:szCs w:val="2"/>
      </w:rPr>
      <w:pict>
        <v:line id="Straight Connector 7" o:spid="_x0000_s12294" style="position:absolute;left:0;text-align:left;z-index:-251651072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rFonts w:asciiTheme="minorHAnsi" w:hAnsiTheme="minorHAnsi"/>
        <w:noProof/>
        <w:sz w:val="2"/>
        <w:szCs w:val="2"/>
      </w:rPr>
      <w:pict>
        <v:line id="Straight Connector 10" o:spid="_x0000_s12293" style="position:absolute;left:0;text-align:left;z-index:-251652096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</w:p>
  <w:p w:rsidR="004D68B6" w:rsidRPr="004D68B6" w:rsidRDefault="004D68B6" w:rsidP="004D68B6">
    <w:pPr>
      <w:pStyle w:val="Zpat"/>
      <w:rPr>
        <w:rFonts w:asciiTheme="minorHAnsi" w:hAnsiTheme="minorHAnsi"/>
        <w:sz w:val="2"/>
        <w:szCs w:val="2"/>
      </w:rPr>
    </w:pPr>
  </w:p>
  <w:p w:rsidR="00F1715C" w:rsidRPr="004D68B6" w:rsidRDefault="00F1715C" w:rsidP="004D68B6">
    <w:pPr>
      <w:pStyle w:val="Zpat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B1F" w:rsidRDefault="00063B1F" w:rsidP="00962258">
      <w:r>
        <w:separator/>
      </w:r>
    </w:p>
  </w:footnote>
  <w:footnote w:type="continuationSeparator" w:id="0">
    <w:p w:rsidR="00063B1F" w:rsidRDefault="00063B1F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7D7013"/>
    <w:multiLevelType w:val="multilevel"/>
    <w:tmpl w:val="866EA41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6924EBF"/>
    <w:multiLevelType w:val="multilevel"/>
    <w:tmpl w:val="DCA8D4DC"/>
    <w:lvl w:ilvl="0">
      <w:start w:val="1"/>
      <w:numFmt w:val="decimal"/>
      <w:lvlText w:val="%1."/>
      <w:lvlJc w:val="left"/>
      <w:pPr>
        <w:tabs>
          <w:tab w:val="num" w:pos="360"/>
        </w:tabs>
        <w:ind w:left="-36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252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3960" w:hanging="1440"/>
      </w:pPr>
      <w:rPr>
        <w:rFonts w:hint="default"/>
      </w:rPr>
    </w:lvl>
  </w:abstractNum>
  <w:abstractNum w:abstractNumId="9" w15:restartNumberingAfterBreak="0">
    <w:nsid w:val="68BA67A2"/>
    <w:multiLevelType w:val="hybridMultilevel"/>
    <w:tmpl w:val="40E03AF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78B5B53"/>
    <w:multiLevelType w:val="multilevel"/>
    <w:tmpl w:val="11009B9A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b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</w:lvl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2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9"/>
  </w:num>
  <w:num w:numId="38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2295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679"/>
    <w:rsid w:val="00063B1F"/>
    <w:rsid w:val="00072C1E"/>
    <w:rsid w:val="000B2FD2"/>
    <w:rsid w:val="000E23A7"/>
    <w:rsid w:val="0010693F"/>
    <w:rsid w:val="00114472"/>
    <w:rsid w:val="001433DA"/>
    <w:rsid w:val="001550BC"/>
    <w:rsid w:val="001605B9"/>
    <w:rsid w:val="00170EC5"/>
    <w:rsid w:val="001747C1"/>
    <w:rsid w:val="00184743"/>
    <w:rsid w:val="001A0D7A"/>
    <w:rsid w:val="00207DF5"/>
    <w:rsid w:val="00242CB7"/>
    <w:rsid w:val="00256A31"/>
    <w:rsid w:val="00280E07"/>
    <w:rsid w:val="00281FA1"/>
    <w:rsid w:val="002C31BF"/>
    <w:rsid w:val="002D08B1"/>
    <w:rsid w:val="002E0CD7"/>
    <w:rsid w:val="00300B51"/>
    <w:rsid w:val="00341DCF"/>
    <w:rsid w:val="00357BC6"/>
    <w:rsid w:val="003956C6"/>
    <w:rsid w:val="003D767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B6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64B"/>
    <w:rsid w:val="005A1511"/>
    <w:rsid w:val="005F1404"/>
    <w:rsid w:val="0061068E"/>
    <w:rsid w:val="00617A8A"/>
    <w:rsid w:val="00625CBF"/>
    <w:rsid w:val="00660AD3"/>
    <w:rsid w:val="0066168A"/>
    <w:rsid w:val="00677B7F"/>
    <w:rsid w:val="006A5570"/>
    <w:rsid w:val="006A689C"/>
    <w:rsid w:val="006B3D79"/>
    <w:rsid w:val="006D7AFE"/>
    <w:rsid w:val="006E01F6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0117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55E6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5145"/>
    <w:rsid w:val="00BD7E91"/>
    <w:rsid w:val="00BE4F26"/>
    <w:rsid w:val="00C02D0A"/>
    <w:rsid w:val="00C03A6E"/>
    <w:rsid w:val="00C37E8B"/>
    <w:rsid w:val="00C44F6A"/>
    <w:rsid w:val="00C47AE3"/>
    <w:rsid w:val="00CD1FC4"/>
    <w:rsid w:val="00D21061"/>
    <w:rsid w:val="00D25C19"/>
    <w:rsid w:val="00D4108E"/>
    <w:rsid w:val="00D6163D"/>
    <w:rsid w:val="00D6320C"/>
    <w:rsid w:val="00D72A8B"/>
    <w:rsid w:val="00D73D46"/>
    <w:rsid w:val="00D831A3"/>
    <w:rsid w:val="00DC75F3"/>
    <w:rsid w:val="00DD46F3"/>
    <w:rsid w:val="00DE56F2"/>
    <w:rsid w:val="00DF116D"/>
    <w:rsid w:val="00E0557B"/>
    <w:rsid w:val="00EB104F"/>
    <w:rsid w:val="00ED14BD"/>
    <w:rsid w:val="00F0533E"/>
    <w:rsid w:val="00F1048D"/>
    <w:rsid w:val="00F12DEC"/>
    <w:rsid w:val="00F1715C"/>
    <w:rsid w:val="00F310F8"/>
    <w:rsid w:val="00F31530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5"/>
    <o:shapelayout v:ext="edit">
      <o:idmap v:ext="edit" data="1"/>
    </o:shapelayout>
  </w:shapeDefaults>
  <w:decimalSymbol w:val=","/>
  <w:listSeparator w:val=";"/>
  <w14:docId w14:val="145DAD26"/>
  <w15:docId w15:val="{01BA8C58-34F8-4051-8469-5E3DD208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767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447D0F-ED43-46EA-8C27-3FB5C8FBF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705</Words>
  <Characters>4166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Cibulka Radek</dc:creator>
  <cp:lastModifiedBy>Jüttnerová Andrea, Mgr.</cp:lastModifiedBy>
  <cp:revision>19</cp:revision>
  <cp:lastPrinted>2017-11-28T17:18:00Z</cp:lastPrinted>
  <dcterms:created xsi:type="dcterms:W3CDTF">2020-01-20T08:35:00Z</dcterms:created>
  <dcterms:modified xsi:type="dcterms:W3CDTF">2020-08-24T09:15:00Z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